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4"/>
          <w:highlight w:val="none"/>
          <w14:textFill>
            <w14:solidFill>
              <w14:schemeClr w14:val="tx1"/>
            </w14:solidFill>
          </w14:textFill>
        </w:rPr>
      </w:pPr>
    </w:p>
    <w:p>
      <w:pPr>
        <w:spacing w:before="936" w:beforeLines="300" w:line="360" w:lineRule="auto"/>
        <w:jc w:val="center"/>
        <w:rPr>
          <w:rFonts w:hint="eastAsia"/>
          <w:b/>
          <w:color w:val="000000"/>
          <w:sz w:val="44"/>
          <w:szCs w:val="44"/>
          <w:lang w:val="en-US" w:eastAsia="zh-CN"/>
        </w:rPr>
      </w:pPr>
      <w:r>
        <w:rPr>
          <w:rFonts w:hint="eastAsia"/>
          <w:b/>
          <w:color w:val="000000"/>
          <w:sz w:val="44"/>
          <w:szCs w:val="44"/>
          <w:lang w:val="en-US" w:eastAsia="zh-CN"/>
        </w:rPr>
        <w:t>川投泸州天然气发电项目</w:t>
      </w:r>
    </w:p>
    <w:p>
      <w:pPr>
        <w:spacing w:before="936" w:beforeLines="300" w:line="360" w:lineRule="auto"/>
        <w:jc w:val="center"/>
        <w:rPr>
          <w:rFonts w:hint="eastAsia" w:ascii="宋体" w:hAnsi="宋体" w:cs="宋体"/>
          <w:b/>
          <w:bCs/>
          <w:color w:val="000000" w:themeColor="text1"/>
          <w:sz w:val="44"/>
          <w:highlight w:val="none"/>
          <w:lang w:val="en-US" w:eastAsia="zh-CN"/>
          <w14:textFill>
            <w14:solidFill>
              <w14:schemeClr w14:val="tx1"/>
            </w14:solidFill>
          </w14:textFill>
        </w:rPr>
      </w:pPr>
      <w:r>
        <w:rPr>
          <w:rFonts w:hint="eastAsia" w:ascii="宋体" w:hAnsi="宋体" w:cs="宋体"/>
          <w:b/>
          <w:bCs/>
          <w:color w:val="000000" w:themeColor="text1"/>
          <w:sz w:val="44"/>
          <w:highlight w:val="none"/>
          <w:lang w:val="en-US" w:eastAsia="zh-CN"/>
          <w14:textFill>
            <w14:solidFill>
              <w14:schemeClr w14:val="tx1"/>
            </w14:solidFill>
          </w14:textFill>
        </w:rPr>
        <w:t>天然气管线工程用地预审服务</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r>
        <w:rPr>
          <w:rFonts w:hint="eastAsia" w:ascii="宋体" w:hAnsi="宋体" w:cs="宋体"/>
          <w:b/>
          <w:bCs/>
          <w:color w:val="000000" w:themeColor="text1"/>
          <w:sz w:val="44"/>
          <w:szCs w:val="22"/>
          <w:highlight w:val="none"/>
          <w14:textFill>
            <w14:solidFill>
              <w14:schemeClr w14:val="tx1"/>
            </w14:solidFill>
          </w14:textFill>
        </w:rPr>
        <w:t>比选文件</w:t>
      </w: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2024</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8</w:t>
      </w:r>
      <w:r>
        <w:rPr>
          <w:rFonts w:hint="eastAsia" w:ascii="宋体" w:hAnsi="宋体" w:cs="宋体"/>
          <w:b/>
          <w:color w:val="000000" w:themeColor="text1"/>
          <w:sz w:val="32"/>
          <w:szCs w:val="32"/>
          <w:highlight w:val="none"/>
          <w14:textFill>
            <w14:solidFill>
              <w14:schemeClr w14:val="tx1"/>
            </w14:solidFill>
          </w14:textFill>
        </w:rPr>
        <w:t>月</w:t>
      </w: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sectPr>
          <w:headerReference r:id="rId4" w:type="first"/>
          <w:headerReference r:id="rId3" w:type="default"/>
          <w:pgSz w:w="11906" w:h="16838"/>
          <w:pgMar w:top="1247" w:right="1304" w:bottom="1247" w:left="1440" w:header="720" w:footer="851" w:gutter="0"/>
          <w:pgNumType w:start="1"/>
          <w:cols w:space="720" w:num="1"/>
          <w:docGrid w:linePitch="326" w:charSpace="0"/>
        </w:sectPr>
      </w:pPr>
      <w:bookmarkStart w:id="0" w:name="_Toc230662926"/>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第一章  比选公告</w:t>
      </w:r>
    </w:p>
    <w:p>
      <w:pPr>
        <w:spacing w:line="360" w:lineRule="auto"/>
        <w:ind w:firstLine="0" w:firstLineChars="0"/>
        <w:rPr>
          <w:rFonts w:hint="eastAsia" w:asciiTheme="minorEastAsia" w:hAnsiTheme="minorEastAsia" w:eastAsiaTheme="minorEastAsia" w:cstheme="minorEastAsia"/>
          <w:b/>
          <w:bCs/>
          <w:sz w:val="24"/>
          <w:szCs w:val="24"/>
          <w:highlight w:val="none"/>
          <w:lang w:eastAsia="zh-CN"/>
        </w:rPr>
      </w:pPr>
    </w:p>
    <w:p>
      <w:pPr>
        <w:spacing w:line="360" w:lineRule="auto"/>
        <w:ind w:firstLine="0" w:firstLineChars="0"/>
        <w:rPr>
          <w:rFonts w:hint="eastAsia" w:asciiTheme="minorEastAsia" w:hAnsiTheme="minorEastAsia" w:eastAsiaTheme="minorEastAsia" w:cstheme="minorEastAsia"/>
          <w:b/>
          <w:bCs/>
          <w:sz w:val="24"/>
          <w:szCs w:val="24"/>
          <w:highlight w:val="none"/>
          <w:lang w:eastAsia="zh-CN"/>
        </w:rPr>
      </w:pPr>
      <w:bookmarkStart w:id="36" w:name="_GoBack"/>
      <w:bookmarkEnd w:id="36"/>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eastAsiaTheme="minorEastAsia" w:cstheme="minorEastAsia"/>
          <w:b/>
          <w:bCs/>
          <w:sz w:val="24"/>
          <w:szCs w:val="24"/>
          <w:highlight w:val="none"/>
          <w:lang w:val="en-US" w:eastAsia="zh-CN"/>
        </w:rPr>
        <w:t>比选范围（</w:t>
      </w:r>
      <w:r>
        <w:rPr>
          <w:rFonts w:hint="eastAsia" w:asciiTheme="minorEastAsia" w:hAnsiTheme="minorEastAsia" w:eastAsiaTheme="minorEastAsia" w:cstheme="minorEastAsia"/>
          <w:b/>
          <w:bCs/>
          <w:sz w:val="24"/>
          <w:szCs w:val="24"/>
          <w:highlight w:val="none"/>
          <w:lang w:eastAsia="zh-CN"/>
        </w:rPr>
        <w:t>项目概况</w:t>
      </w:r>
      <w:r>
        <w:rPr>
          <w:rFonts w:hint="eastAsia" w:asciiTheme="minorEastAsia" w:hAnsiTheme="minorEastAsia" w:eastAsiaTheme="minorEastAsia" w:cstheme="minorEastAsia"/>
          <w:b/>
          <w:bCs/>
          <w:sz w:val="24"/>
          <w:szCs w:val="24"/>
          <w:highlight w:val="none"/>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详见《天然气管线工程用地预审服务技术规范书》。</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比选申请</w:t>
      </w:r>
      <w:r>
        <w:rPr>
          <w:rFonts w:hint="eastAsia" w:asciiTheme="minorEastAsia" w:hAnsiTheme="minorEastAsia" w:eastAsiaTheme="minorEastAsia" w:cstheme="minorEastAsia"/>
          <w:b/>
          <w:bCs/>
          <w:sz w:val="24"/>
          <w:szCs w:val="24"/>
          <w:highlight w:val="none"/>
          <w:lang w:eastAsia="zh-CN"/>
        </w:rPr>
        <w:t>人资质要求</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1.比选申请人为法人或非法人组织，且未被市场监管部门列入经营异常名录；</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2.比选申请人具有城乡规划编制乙级以上（含乙级）资质；</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3.近五年（2019-2023年）开展规划业绩总量不低于3个。</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比选文件的获取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2024年8月3日起，比选申请人登录四川川投燃气发电集团有限责任公司官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网、川投（泸州）燃气发电有限公司官网下载</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四、送达比选申请文件的截止时间、方式</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比选申请文件送达截止时间：2024年8月9日10:00。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比选申请文件送达地点：</w:t>
      </w:r>
      <w:r>
        <w:rPr>
          <w:rFonts w:hint="eastAsia" w:asciiTheme="minorEastAsia" w:hAnsiTheme="minorEastAsia" w:eastAsiaTheme="minorEastAsia" w:cstheme="minorEastAsia"/>
          <w:sz w:val="24"/>
          <w:szCs w:val="24"/>
          <w:highlight w:val="none"/>
          <w:lang w:val="en-US" w:eastAsia="zh-CN"/>
        </w:rPr>
        <w:t>川投（泸州）燃气发电有限公司（泸州市江阳区江北镇进厂路1007号）。</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五、项目单位联系电话及比选公告发布媒介</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川投（泸州）燃气发电有限公司，0830-3628191</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比选公告于四川川投燃气发电集团有限责任公司官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w:t>
      </w:r>
      <w:r>
        <w:rPr>
          <w:rFonts w:hint="eastAsia" w:asciiTheme="minorEastAsia" w:hAnsiTheme="minorEastAsia" w:eastAsiaTheme="minorEastAsia" w:cstheme="minorEastAsia"/>
          <w:b w:val="0"/>
          <w:bCs w:val="0"/>
          <w:kern w:val="2"/>
          <w:sz w:val="24"/>
          <w:szCs w:val="24"/>
          <w:highlight w:val="none"/>
          <w:lang w:val="en-US" w:eastAsia="zh-CN" w:bidi="ar-SA"/>
        </w:rPr>
        <w:t>发布。</w:t>
      </w: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4"/>
        <w:rPr>
          <w:rFonts w:hint="eastAsia"/>
        </w:rPr>
      </w:pPr>
    </w:p>
    <w:p>
      <w:pPr>
        <w:rPr>
          <w:rFonts w:hint="eastAsia"/>
        </w:rPr>
      </w:pPr>
    </w:p>
    <w:p>
      <w:pPr>
        <w:pStyle w:val="2"/>
        <w:rPr>
          <w:rFonts w:hint="eastAsia"/>
        </w:rPr>
      </w:pPr>
    </w:p>
    <w:p>
      <w:pPr>
        <w:rPr>
          <w:rFonts w:hint="eastAsia"/>
        </w:rPr>
      </w:pP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pPr>
    </w:p>
    <w:p>
      <w:pPr>
        <w:pStyle w:val="3"/>
        <w:keepLines w:val="0"/>
        <w:tabs>
          <w:tab w:val="left" w:pos="720"/>
        </w:tabs>
        <w:spacing w:before="0" w:after="0" w:line="24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第二章  </w:t>
      </w:r>
      <w:r>
        <w:rPr>
          <w:rFonts w:hint="eastAsia" w:ascii="宋体" w:hAnsi="宋体"/>
          <w:color w:val="000000" w:themeColor="text1"/>
          <w:sz w:val="28"/>
          <w:szCs w:val="28"/>
          <w:highlight w:val="none"/>
          <w14:textFill>
            <w14:solidFill>
              <w14:schemeClr w14:val="tx1"/>
            </w14:solidFill>
          </w14:textFill>
        </w:rPr>
        <w:t>比选须知前附表</w:t>
      </w:r>
      <w:bookmarkEnd w:id="0"/>
    </w:p>
    <w:p>
      <w:pPr>
        <w:rPr>
          <w:color w:val="000000" w:themeColor="text1"/>
          <w:highlight w:val="none"/>
          <w14:textFill>
            <w14:solidFill>
              <w14:schemeClr w14:val="tx1"/>
            </w14:solidFill>
          </w14:textFill>
        </w:rPr>
      </w:pPr>
    </w:p>
    <w:tbl>
      <w:tblPr>
        <w:tblStyle w:val="22"/>
        <w:tblW w:w="9678" w:type="dxa"/>
        <w:tblInd w:w="-18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88"/>
        <w:gridCol w:w="1751"/>
        <w:gridCol w:w="71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ind w:right="-35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7139"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8"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c>
        <w:tc>
          <w:tcPr>
            <w:tcW w:w="713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天然气管线工程用地预审服务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工程地点</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四川省</w:t>
            </w:r>
            <w:r>
              <w:rPr>
                <w:rFonts w:hint="eastAsia" w:ascii="宋体" w:hAnsi="宋体" w:cs="宋体"/>
                <w:color w:val="000000" w:themeColor="text1"/>
                <w:szCs w:val="21"/>
                <w:highlight w:val="none"/>
                <w:lang w:val="en-US" w:eastAsia="zh-CN"/>
                <w14:textFill>
                  <w14:solidFill>
                    <w14:schemeClr w14:val="tx1"/>
                  </w14:solidFill>
                </w14:textFill>
              </w:rPr>
              <w:t>泸州市江阳区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比选范围</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zh-CN"/>
                <w14:textFill>
                  <w14:solidFill>
                    <w14:schemeClr w14:val="tx1"/>
                  </w14:solidFill>
                </w14:textFill>
              </w:rPr>
              <w:t>详见“</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总价承包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33"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比选申请人</w:t>
            </w:r>
            <w:r>
              <w:rPr>
                <w:rFonts w:hint="eastAsia" w:ascii="宋体" w:hAnsi="宋体" w:cs="宋体"/>
                <w:color w:val="000000" w:themeColor="text1"/>
                <w:szCs w:val="21"/>
                <w:highlight w:val="none"/>
                <w:lang w:val="en-US"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资质</w:t>
            </w:r>
            <w:r>
              <w:rPr>
                <w:rFonts w:hint="eastAsia" w:ascii="宋体" w:hAnsi="宋体" w:cs="宋体"/>
                <w:color w:val="000000" w:themeColor="text1"/>
                <w:szCs w:val="21"/>
                <w:highlight w:val="none"/>
                <w:lang w:val="en-US" w:eastAsia="zh-CN"/>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要求</w:t>
            </w:r>
          </w:p>
        </w:tc>
        <w:tc>
          <w:tcPr>
            <w:tcW w:w="7139" w:type="dxa"/>
            <w:tcBorders>
              <w:top w:val="single" w:color="auto" w:sz="4" w:space="0"/>
              <w:left w:val="single" w:color="auto" w:sz="4" w:space="0"/>
              <w:bottom w:val="single" w:color="auto" w:sz="4" w:space="0"/>
              <w:right w:val="single" w:color="auto" w:sz="4" w:space="0"/>
            </w:tcBorders>
            <w:vAlign w:val="center"/>
          </w:tcPr>
          <w:p>
            <w:pPr>
              <w:pStyle w:val="9"/>
              <w:widowControl/>
              <w:spacing w:line="240" w:lineRule="auto"/>
              <w:ind w:left="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详</w:t>
            </w:r>
            <w:r>
              <w:rPr>
                <w:rFonts w:hint="eastAsia" w:ascii="宋体" w:hAnsi="宋体" w:cs="宋体"/>
                <w:color w:val="000000" w:themeColor="text1"/>
                <w:sz w:val="21"/>
                <w:szCs w:val="21"/>
                <w:highlight w:val="none"/>
                <w14:textFill>
                  <w14:solidFill>
                    <w14:schemeClr w14:val="tx1"/>
                  </w14:solidFill>
                </w14:textFill>
              </w:rPr>
              <w:t>见</w:t>
            </w:r>
            <w:r>
              <w:rPr>
                <w:rFonts w:hint="eastAsia" w:ascii="宋体" w:hAnsi="宋体" w:cs="宋体"/>
                <w:color w:val="000000" w:themeColor="text1"/>
                <w:sz w:val="21"/>
                <w:szCs w:val="21"/>
                <w:highlight w:val="none"/>
                <w:lang w:val="en-US" w:eastAsia="zh-CN"/>
                <w14:textFill>
                  <w14:solidFill>
                    <w14:schemeClr w14:val="tx1"/>
                  </w14:solidFill>
                </w14:textFill>
              </w:rPr>
              <w:t>比选文件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2"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合同工期</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en-US" w:eastAsia="zh-CN"/>
                <w14:textFill>
                  <w14:solidFill>
                    <w14:schemeClr w14:val="tx1"/>
                  </w14:solidFill>
                </w14:textFill>
              </w:rPr>
              <w:t>详见</w:t>
            </w:r>
            <w:r>
              <w:rPr>
                <w:rFonts w:hint="eastAsia" w:ascii="宋体" w:hAnsi="宋体" w:cs="宋体"/>
                <w:color w:val="000000" w:themeColor="text1"/>
                <w:kern w:val="24"/>
                <w:szCs w:val="21"/>
                <w:highlight w:val="none"/>
                <w:lang w:val="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第二章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比选有效期</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日历天（从比选截止之日起计算）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92"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比选保证金</w:t>
            </w:r>
          </w:p>
        </w:tc>
        <w:tc>
          <w:tcPr>
            <w:tcW w:w="7139"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rPr>
            </w:pPr>
            <w:r>
              <w:rPr>
                <w:rFonts w:hint="eastAsia"/>
                <w:highlight w:val="none"/>
                <w:lang w:val="en-US" w:eastAsia="zh-CN"/>
              </w:rPr>
              <w:t>比选</w:t>
            </w:r>
            <w:r>
              <w:rPr>
                <w:rFonts w:hint="eastAsia"/>
                <w:highlight w:val="none"/>
              </w:rPr>
              <w:t>保证金为</w:t>
            </w:r>
            <w:r>
              <w:rPr>
                <w:rFonts w:hint="eastAsia"/>
                <w:highlight w:val="none"/>
                <w:lang w:val="en-US" w:eastAsia="zh-CN"/>
              </w:rPr>
              <w:t>¥3,000</w:t>
            </w:r>
            <w:r>
              <w:rPr>
                <w:rFonts w:hint="eastAsia"/>
                <w:highlight w:val="none"/>
              </w:rPr>
              <w:t>元（</w:t>
            </w:r>
            <w:r>
              <w:rPr>
                <w:rFonts w:hint="eastAsia"/>
                <w:highlight w:val="none"/>
                <w:lang w:val="en-US" w:eastAsia="zh-CN"/>
              </w:rPr>
              <w:t>叁仟元整</w:t>
            </w:r>
            <w:r>
              <w:rPr>
                <w:rFonts w:hint="eastAsia"/>
                <w:highlight w:val="none"/>
              </w:rPr>
              <w:t>），到账截止时间为202</w:t>
            </w:r>
            <w:r>
              <w:rPr>
                <w:rFonts w:hint="eastAsia"/>
                <w:highlight w:val="none"/>
                <w:lang w:val="en-US" w:eastAsia="zh-CN"/>
              </w:rPr>
              <w:t>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9</w:t>
            </w:r>
            <w:r>
              <w:rPr>
                <w:rFonts w:hint="eastAsia"/>
                <w:highlight w:val="none"/>
              </w:rPr>
              <w:t>日1</w:t>
            </w:r>
            <w:r>
              <w:rPr>
                <w:rFonts w:hint="eastAsia"/>
                <w:highlight w:val="none"/>
                <w:lang w:val="en-US" w:eastAsia="zh-CN"/>
              </w:rPr>
              <w:t>0</w:t>
            </w:r>
            <w:r>
              <w:rPr>
                <w:rFonts w:hint="eastAsia"/>
                <w:highlight w:val="none"/>
              </w:rPr>
              <w:t>：00(北京时</w:t>
            </w:r>
            <w:r>
              <w:rPr>
                <w:rFonts w:hint="eastAsia" w:ascii="Times New Roman" w:hAnsi="Times New Roman" w:eastAsia="宋体" w:cs="Times New Roman"/>
                <w:highlight w:val="none"/>
              </w:rPr>
              <w:t>间)。</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可以选择下列两种形式之一提交:</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（1）转账</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w:t>
            </w:r>
            <w:r>
              <w:rPr>
                <w:rFonts w:hint="eastAsia" w:ascii="Times New Roman" w:hAnsi="Times New Roman" w:eastAsia="宋体" w:cs="Times New Roman"/>
                <w:highlight w:val="none"/>
              </w:rPr>
              <w:t>保证金存入账户：</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户名:</w:t>
            </w:r>
            <w:r>
              <w:rPr>
                <w:rFonts w:hint="eastAsia" w:ascii="Times New Roman" w:hAnsi="Times New Roman" w:eastAsia="宋体" w:cs="Times New Roman"/>
                <w:highlight w:val="none"/>
                <w:lang w:val="en-US" w:eastAsia="zh-CN"/>
              </w:rPr>
              <w:t>川投（</w:t>
            </w:r>
            <w:r>
              <w:rPr>
                <w:rFonts w:hint="eastAsia" w:ascii="Times New Roman" w:hAnsi="Times New Roman" w:eastAsia="宋体" w:cs="Times New Roman"/>
                <w:highlight w:val="none"/>
                <w:lang w:eastAsia="zh-CN"/>
              </w:rPr>
              <w:t>泸州）</w:t>
            </w:r>
            <w:r>
              <w:rPr>
                <w:rFonts w:hint="eastAsia" w:ascii="Times New Roman" w:hAnsi="Times New Roman" w:eastAsia="宋体" w:cs="Times New Roman"/>
                <w:highlight w:val="none"/>
                <w:lang w:val="en-US" w:eastAsia="zh-CN"/>
              </w:rPr>
              <w:t>燃气发电</w:t>
            </w:r>
            <w:r>
              <w:rPr>
                <w:rFonts w:hint="eastAsia" w:ascii="Times New Roman" w:hAnsi="Times New Roman" w:eastAsia="宋体" w:cs="Times New Roman"/>
                <w:highlight w:val="none"/>
                <w:lang w:eastAsia="zh-CN"/>
              </w:rPr>
              <w:t>有限公司</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开户银行：</w:t>
            </w:r>
            <w:r>
              <w:rPr>
                <w:rFonts w:hint="eastAsia" w:ascii="Times New Roman" w:hAnsi="Times New Roman" w:eastAsia="宋体" w:cs="Times New Roman"/>
                <w:highlight w:val="none"/>
                <w:lang w:val="en-US" w:eastAsia="zh-CN"/>
              </w:rPr>
              <w:t>中国工商银行股份有限公司</w:t>
            </w:r>
            <w:r>
              <w:rPr>
                <w:rFonts w:hint="eastAsia" w:ascii="Times New Roman" w:hAnsi="Times New Roman" w:eastAsia="宋体" w:cs="Times New Roman"/>
                <w:highlight w:val="none"/>
              </w:rPr>
              <w:t>泸州江阳支行</w:t>
            </w:r>
          </w:p>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帐号：</w:t>
            </w:r>
            <w:r>
              <w:rPr>
                <w:rFonts w:hint="eastAsia" w:ascii="Times New Roman" w:hAnsi="Times New Roman" w:eastAsia="宋体" w:cs="Times New Roman"/>
                <w:highlight w:val="none"/>
                <w:lang w:val="en-US" w:eastAsia="zh-CN"/>
              </w:rPr>
              <w:t>2304343109100024976</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（2）保函</w:t>
            </w:r>
          </w:p>
          <w:p>
            <w:pPr>
              <w:rPr>
                <w:rFonts w:ascii="宋体" w:hAnsi="宋体" w:cs="宋体"/>
                <w:color w:val="000000" w:themeColor="text1"/>
                <w:szCs w:val="21"/>
                <w:highlight w:val="none"/>
                <w14:textFill>
                  <w14:solidFill>
                    <w14:schemeClr w14:val="tx1"/>
                  </w14:solidFill>
                </w14:textFill>
              </w:rPr>
            </w:pPr>
            <w:r>
              <w:rPr>
                <w:rFonts w:hint="eastAsia" w:ascii="Times New Roman" w:hAnsi="Times New Roman" w:cs="Times New Roman"/>
                <w:highlight w:val="none"/>
                <w:lang w:val="en-US" w:eastAsia="zh-CN"/>
              </w:rPr>
              <w:t>投标人</w:t>
            </w:r>
            <w:r>
              <w:rPr>
                <w:rFonts w:hint="default" w:ascii="Times New Roman" w:hAnsi="Times New Roman" w:eastAsia="宋体" w:cs="Times New Roman"/>
                <w:highlight w:val="none"/>
                <w:lang w:val="en-US" w:eastAsia="zh-CN"/>
              </w:rPr>
              <w:t>需将保函</w:t>
            </w:r>
            <w:r>
              <w:rPr>
                <w:rFonts w:hint="eastAsia" w:ascii="Times New Roman" w:hAnsi="Times New Roman" w:eastAsia="宋体" w:cs="Times New Roman"/>
                <w:highlight w:val="none"/>
                <w:lang w:val="en-US" w:eastAsia="zh-CN"/>
              </w:rPr>
              <w:t>原件与</w:t>
            </w:r>
            <w:r>
              <w:rPr>
                <w:rFonts w:hint="eastAsia" w:ascii="Times New Roman" w:hAnsi="Times New Roman" w:cs="Times New Roman"/>
                <w:highlight w:val="none"/>
                <w:lang w:val="en-US" w:eastAsia="zh-CN"/>
              </w:rPr>
              <w:t>投标</w:t>
            </w:r>
            <w:r>
              <w:rPr>
                <w:rFonts w:hint="default" w:ascii="Times New Roman" w:hAnsi="Times New Roman" w:eastAsia="宋体" w:cs="Times New Roman"/>
                <w:highlight w:val="none"/>
                <w:lang w:val="en-US" w:eastAsia="zh-CN"/>
              </w:rPr>
              <w:t>文件</w:t>
            </w:r>
            <w:r>
              <w:rPr>
                <w:rFonts w:hint="eastAsia" w:ascii="Times New Roman" w:hAnsi="Times New Roman" w:eastAsia="宋体" w:cs="Times New Roman"/>
                <w:highlight w:val="none"/>
                <w:lang w:val="en-US" w:eastAsia="zh-CN"/>
              </w:rPr>
              <w:t>一并递交</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71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比选申请文件封装</w:t>
            </w:r>
          </w:p>
        </w:tc>
        <w:tc>
          <w:tcPr>
            <w:tcW w:w="71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技术</w:t>
            </w:r>
            <w:r>
              <w:rPr>
                <w:rFonts w:hint="eastAsia" w:ascii="宋体" w:hAnsi="宋体" w:cs="宋体"/>
                <w:b/>
                <w:color w:val="000000" w:themeColor="text1"/>
                <w:szCs w:val="21"/>
                <w:highlight w:val="none"/>
                <w:lang w:val="en-US" w:eastAsia="zh-CN"/>
                <w14:textFill>
                  <w14:solidFill>
                    <w14:schemeClr w14:val="tx1"/>
                  </w14:solidFill>
                </w14:textFill>
              </w:rPr>
              <w:t>文件</w:t>
            </w:r>
            <w:r>
              <w:rPr>
                <w:rFonts w:hint="eastAsia" w:ascii="宋体" w:hAnsi="宋体" w:cs="宋体"/>
                <w:b/>
                <w:color w:val="000000" w:themeColor="text1"/>
                <w:szCs w:val="21"/>
                <w:highlight w:val="none"/>
                <w14:textFill>
                  <w14:solidFill>
                    <w14:schemeClr w14:val="tx1"/>
                  </w14:solidFill>
                </w14:textFill>
              </w:rPr>
              <w:t>合装。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文件份数页码和小签</w:t>
            </w:r>
          </w:p>
        </w:tc>
        <w:tc>
          <w:tcPr>
            <w:tcW w:w="71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纸质版</w:t>
            </w:r>
            <w:r>
              <w:rPr>
                <w:rFonts w:hint="eastAsia" w:ascii="宋体" w:hAnsi="宋体" w:cs="宋体"/>
                <w:color w:val="000000" w:themeColor="text1"/>
                <w:szCs w:val="21"/>
                <w:highlight w:val="none"/>
                <w14:textFill>
                  <w14:solidFill>
                    <w14:schemeClr w14:val="tx1"/>
                  </w14:solidFill>
                </w14:textFill>
              </w:rPr>
              <w:t>正本</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份，副本</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份；电子版1套：</w:t>
            </w:r>
            <w:r>
              <w:rPr>
                <w:rFonts w:hint="eastAsia" w:ascii="宋体" w:hAnsi="宋体" w:cs="宋体"/>
                <w:color w:val="000000" w:themeColor="text1"/>
                <w:kern w:val="0"/>
                <w:szCs w:val="21"/>
                <w:highlight w:val="none"/>
                <w14:textFill>
                  <w14:solidFill>
                    <w14:schemeClr w14:val="tx1"/>
                  </w14:solidFill>
                </w14:textFill>
              </w:rPr>
              <w:t>1）从目录开始连续、逐页</w:t>
            </w:r>
            <w:r>
              <w:rPr>
                <w:rFonts w:hint="eastAsia" w:ascii="宋体" w:hAnsi="宋体" w:cs="宋体"/>
                <w:color w:val="000000" w:themeColor="text1"/>
                <w:kern w:val="0"/>
                <w:szCs w:val="21"/>
                <w:highlight w:val="none"/>
                <w:lang w:val="en-US" w:eastAsia="zh-CN"/>
                <w14:textFill>
                  <w14:solidFill>
                    <w14:schemeClr w14:val="tx1"/>
                  </w14:solidFill>
                </w14:textFill>
              </w:rPr>
              <w:t>底端</w:t>
            </w:r>
            <w:r>
              <w:rPr>
                <w:rFonts w:hint="eastAsia" w:ascii="宋体" w:hAnsi="宋体" w:cs="宋体"/>
                <w:color w:val="000000" w:themeColor="text1"/>
                <w:kern w:val="0"/>
                <w:szCs w:val="21"/>
                <w:highlight w:val="none"/>
                <w14:textFill>
                  <w14:solidFill>
                    <w14:schemeClr w14:val="tx1"/>
                  </w14:solidFill>
                </w14:textFill>
              </w:rPr>
              <w:t>编页码；2）在编有页码的页面底端小签全名。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6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文件提交地点及截止时间</w:t>
            </w:r>
          </w:p>
        </w:tc>
        <w:tc>
          <w:tcPr>
            <w:tcW w:w="7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川投（泸州）燃气发电有限公司（泸州市江阳区江北镇）</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比选截止时间：202</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日10：00</w:t>
            </w:r>
            <w:r>
              <w:rPr>
                <w:rFonts w:hint="eastAsia" w:ascii="宋体" w:hAnsi="宋体" w:cs="宋体"/>
                <w:color w:val="000000" w:themeColor="text1"/>
                <w:szCs w:val="21"/>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05"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w:t>
            </w:r>
            <w:r>
              <w:rPr>
                <w:rFonts w:hint="eastAsia" w:ascii="宋体" w:hAnsi="宋体" w:cs="宋体"/>
                <w:color w:val="000000" w:themeColor="text1"/>
                <w:szCs w:val="21"/>
                <w:highlight w:val="none"/>
                <w:lang w:val="en-US" w:eastAsia="zh-CN"/>
                <w14:textFill>
                  <w14:solidFill>
                    <w14:schemeClr w14:val="tx1"/>
                  </w14:solidFill>
                </w14:textFill>
              </w:rPr>
              <w:t>评</w:t>
            </w:r>
            <w:r>
              <w:rPr>
                <w:rFonts w:hint="eastAsia" w:ascii="宋体" w:hAnsi="宋体" w:cs="宋体"/>
                <w:color w:val="000000" w:themeColor="text1"/>
                <w:szCs w:val="21"/>
                <w:highlight w:val="none"/>
                <w14:textFill>
                  <w14:solidFill>
                    <w14:schemeClr w14:val="tx1"/>
                  </w14:solidFill>
                </w14:textFill>
              </w:rPr>
              <w:t>标</w:t>
            </w:r>
          </w:p>
        </w:tc>
        <w:tc>
          <w:tcPr>
            <w:tcW w:w="7139" w:type="dxa"/>
            <w:tcBorders>
              <w:top w:val="single" w:color="auto" w:sz="4" w:space="0"/>
              <w:left w:val="single" w:color="auto" w:sz="4" w:space="0"/>
              <w:bottom w:val="single" w:color="auto" w:sz="4" w:space="0"/>
              <w:right w:val="single" w:color="auto" w:sz="4" w:space="0"/>
            </w:tcBorders>
            <w:vAlign w:val="center"/>
          </w:tcPr>
          <w:p>
            <w:pPr>
              <w:ind w:left="945" w:leftChars="0" w:hanging="945" w:hangingChars="450"/>
              <w:rPr>
                <w:rFonts w:ascii="宋体" w:hAnsi="宋体" w:cs="宋体"/>
                <w:color w:val="auto"/>
                <w:szCs w:val="21"/>
                <w:highlight w:val="none"/>
              </w:rPr>
            </w:pPr>
            <w:r>
              <w:rPr>
                <w:rFonts w:hint="eastAsia" w:ascii="宋体" w:hAnsi="宋体" w:cs="宋体"/>
                <w:color w:val="auto"/>
                <w:szCs w:val="21"/>
                <w:highlight w:val="none"/>
              </w:rPr>
              <w:t>开</w:t>
            </w:r>
            <w:r>
              <w:rPr>
                <w:rFonts w:hint="eastAsia" w:ascii="宋体" w:hAnsi="宋体" w:cs="宋体"/>
                <w:color w:val="auto"/>
                <w:szCs w:val="21"/>
                <w:highlight w:val="none"/>
                <w:lang w:val="en-US" w:eastAsia="zh-CN"/>
              </w:rPr>
              <w:t>评</w:t>
            </w:r>
            <w:r>
              <w:rPr>
                <w:rFonts w:hint="eastAsia" w:ascii="宋体" w:hAnsi="宋体" w:cs="宋体"/>
                <w:color w:val="auto"/>
                <w:szCs w:val="21"/>
                <w:highlight w:val="none"/>
              </w:rPr>
              <w:t>标时间：202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日</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(北京时间)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开标后即评标。</w:t>
            </w:r>
            <w:r>
              <w:rPr>
                <w:rFonts w:hint="eastAsia" w:ascii="宋体" w:hAnsi="宋体" w:cs="宋体"/>
                <w:color w:val="auto"/>
                <w:szCs w:val="21"/>
                <w:highlight w:val="none"/>
              </w:rPr>
              <w:t xml:space="preserve"> </w:t>
            </w:r>
          </w:p>
          <w:p>
            <w:pPr>
              <w:ind w:left="945" w:hanging="945" w:hangingChars="450"/>
              <w:rPr>
                <w:rFonts w:hint="default" w:ascii="宋体" w:hAnsi="宋体" w:cs="宋体"/>
                <w:color w:val="000000" w:themeColor="text1"/>
                <w:w w:val="90"/>
                <w:kern w:val="44"/>
                <w:szCs w:val="21"/>
                <w:highlight w:val="none"/>
                <w:lang w:val="en-US"/>
                <w14:textFill>
                  <w14:solidFill>
                    <w14:schemeClr w14:val="tx1"/>
                  </w14:solidFill>
                </w14:textFill>
              </w:rPr>
            </w:pPr>
            <w:r>
              <w:rPr>
                <w:rFonts w:hint="eastAsia" w:ascii="宋体" w:hAnsi="宋体" w:cs="宋体"/>
                <w:color w:val="auto"/>
                <w:szCs w:val="21"/>
                <w:highlight w:val="none"/>
              </w:rPr>
              <w:t>开标地点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川投（泸州）燃气发电有限公司</w:t>
            </w:r>
            <w:r>
              <w:rPr>
                <w:rFonts w:hint="eastAsia" w:ascii="宋体" w:hAnsi="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1"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报价</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不高于¥160,000元（含税金额）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评选方法及标准</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同</w:t>
            </w:r>
            <w:r>
              <w:rPr>
                <w:rFonts w:hint="eastAsia" w:ascii="宋体" w:hAnsi="宋体" w:cs="宋体"/>
                <w:color w:val="000000" w:themeColor="text1"/>
                <w:szCs w:val="21"/>
                <w:highlight w:val="none"/>
                <w14:textFill>
                  <w14:solidFill>
                    <w14:schemeClr w14:val="tx1"/>
                  </w14:solidFill>
                </w14:textFill>
              </w:rPr>
              <w:t>比选保证金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2"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val="en-US" w:eastAsia="zh-CN"/>
                <w14:textFill>
                  <w14:solidFill>
                    <w14:schemeClr w14:val="tx1"/>
                  </w14:solidFill>
                </w14:textFill>
              </w:rPr>
              <w:t>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7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17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比选人联系人及</w:t>
            </w: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7139"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彭先生</w:t>
            </w:r>
            <w:r>
              <w:rPr>
                <w:rFonts w:hint="eastAsia" w:ascii="宋体" w:hAnsi="宋体" w:cs="宋体"/>
                <w:color w:val="000000" w:themeColor="text1"/>
                <w:szCs w:val="21"/>
                <w:highlight w:val="none"/>
                <w14:textFill>
                  <w14:solidFill>
                    <w14:schemeClr w14:val="tx1"/>
                  </w14:solidFill>
                </w14:textFill>
              </w:rPr>
              <w:t>，0830-3628</w:t>
            </w:r>
            <w:r>
              <w:rPr>
                <w:rFonts w:hint="eastAsia" w:ascii="宋体" w:hAnsi="宋体" w:cs="宋体"/>
                <w:color w:val="000000" w:themeColor="text1"/>
                <w:szCs w:val="21"/>
                <w:highlight w:val="none"/>
                <w:lang w:val="en-US" w:eastAsia="zh-CN"/>
                <w14:textFill>
                  <w14:solidFill>
                    <w14:schemeClr w14:val="tx1"/>
                  </w14:solidFill>
                </w14:textFill>
              </w:rPr>
              <w:t>191</w:t>
            </w:r>
          </w:p>
        </w:tc>
      </w:tr>
    </w:tbl>
    <w:p>
      <w:pPr>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第</w:t>
      </w:r>
      <w:r>
        <w:rPr>
          <w:rFonts w:hint="eastAsia" w:ascii="宋体" w:hAnsi="宋体" w:cs="宋体"/>
          <w:b/>
          <w:color w:val="000000" w:themeColor="text1"/>
          <w:sz w:val="30"/>
          <w:szCs w:val="30"/>
          <w:highlight w:val="none"/>
          <w:lang w:val="en-US" w:eastAsia="zh-CN"/>
          <w14:textFill>
            <w14:solidFill>
              <w14:schemeClr w14:val="tx1"/>
            </w14:solidFill>
          </w14:textFill>
        </w:rPr>
        <w:t>三</w:t>
      </w:r>
      <w:r>
        <w:rPr>
          <w:rFonts w:hint="eastAsia" w:ascii="宋体" w:hAnsi="宋体" w:cs="宋体"/>
          <w:b/>
          <w:color w:val="000000" w:themeColor="text1"/>
          <w:sz w:val="30"/>
          <w:szCs w:val="30"/>
          <w:highlight w:val="none"/>
          <w14:textFill>
            <w14:solidFill>
              <w14:schemeClr w14:val="tx1"/>
            </w14:solidFill>
          </w14:textFill>
        </w:rPr>
        <w:t>章 商务部分</w:t>
      </w:r>
    </w:p>
    <w:p>
      <w:pPr>
        <w:pStyle w:val="2"/>
        <w:rPr>
          <w:color w:val="000000" w:themeColor="text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64" w:beforeLines="50" w:after="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1．定  义</w:t>
      </w:r>
    </w:p>
    <w:p>
      <w:pPr>
        <w:tabs>
          <w:tab w:val="left" w:pos="756"/>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项目：</w:t>
      </w:r>
      <w:r>
        <w:rPr>
          <w:rFonts w:hint="eastAsia" w:ascii="宋体" w:hAnsi="宋体" w:cs="宋体"/>
          <w:color w:val="000000" w:themeColor="text1"/>
          <w:sz w:val="24"/>
          <w:highlight w:val="none"/>
          <w:lang w:eastAsia="zh-CN"/>
          <w14:textFill>
            <w14:solidFill>
              <w14:schemeClr w14:val="tx1"/>
            </w14:solidFill>
          </w14:textFill>
        </w:rPr>
        <w:t>天然气管线工程用地预审服务</w:t>
      </w:r>
      <w:r>
        <w:rPr>
          <w:rFonts w:hint="eastAsia" w:ascii="宋体" w:hAnsi="宋体" w:cs="宋体"/>
          <w:color w:val="000000" w:themeColor="text1"/>
          <w:kern w:val="24"/>
          <w:sz w:val="24"/>
          <w:highlight w:val="none"/>
          <w:lang w:val="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lang w:val="zh-CN"/>
          <w14:textFill>
            <w14:solidFill>
              <w14:schemeClr w14:val="tx1"/>
            </w14:solidFill>
          </w14:textFill>
        </w:rPr>
        <w:t>1.2比选人</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川投（</w:t>
      </w:r>
      <w:r>
        <w:rPr>
          <w:rFonts w:hint="eastAsia" w:ascii="宋体" w:hAnsi="宋体" w:eastAsia="宋体" w:cs="宋体"/>
          <w:color w:val="000000" w:themeColor="text1"/>
          <w:sz w:val="24"/>
          <w:highlight w:val="none"/>
          <w:lang w:eastAsia="zh-CN"/>
          <w14:textFill>
            <w14:solidFill>
              <w14:schemeClr w14:val="tx1"/>
            </w14:solidFill>
          </w14:textFill>
        </w:rPr>
        <w:t>泸州）</w:t>
      </w:r>
      <w:r>
        <w:rPr>
          <w:rFonts w:hint="eastAsia" w:ascii="宋体" w:hAnsi="宋体" w:eastAsia="宋体" w:cs="宋体"/>
          <w:color w:val="000000" w:themeColor="text1"/>
          <w:sz w:val="24"/>
          <w:highlight w:val="none"/>
          <w:lang w:val="en-US" w:eastAsia="zh-CN"/>
          <w14:textFill>
            <w14:solidFill>
              <w14:schemeClr w14:val="tx1"/>
            </w14:solidFill>
          </w14:textFill>
        </w:rPr>
        <w:t>燃气发电</w:t>
      </w:r>
      <w:r>
        <w:rPr>
          <w:rFonts w:hint="eastAsia" w:ascii="宋体" w:hAnsi="宋体" w:eastAsia="宋体" w:cs="宋体"/>
          <w:color w:val="000000" w:themeColor="text1"/>
          <w:sz w:val="24"/>
          <w:highlight w:val="none"/>
          <w:lang w:eastAsia="zh-CN"/>
          <w14:textFill>
            <w14:solidFill>
              <w14:schemeClr w14:val="tx1"/>
            </w14:solidFill>
          </w14:textFill>
        </w:rPr>
        <w:t>有限公司</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阶段称为甲方。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1.3比选申请人：参加比选的法人或其他组织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中选</w:t>
      </w:r>
      <w:r>
        <w:rPr>
          <w:rFonts w:hint="eastAsia" w:ascii="宋体" w:hAnsi="宋体" w:cs="宋体"/>
          <w:color w:val="000000" w:themeColor="text1"/>
          <w:sz w:val="24"/>
          <w:highlight w:val="none"/>
          <w:lang w:val="en-US" w:eastAsia="zh-CN"/>
          <w14:textFill>
            <w14:solidFill>
              <w14:schemeClr w14:val="tx1"/>
            </w14:solidFill>
          </w14:textFill>
        </w:rPr>
        <w:t>后</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阶段称为乙方。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1.4中选人：被授予合同的比选申请人。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方式：比选。</w:t>
      </w:r>
    </w:p>
    <w:p>
      <w:pPr>
        <w:numPr>
          <w:ilvl w:val="-1"/>
          <w:numId w:val="0"/>
        </w:num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2.比选</w:t>
      </w:r>
      <w:r>
        <w:rPr>
          <w:rFonts w:hint="eastAsia" w:ascii="宋体" w:hAnsi="宋体" w:cs="宋体"/>
          <w:b/>
          <w:color w:val="000000" w:themeColor="text1"/>
          <w:sz w:val="24"/>
          <w:highlight w:val="none"/>
          <w14:textFill>
            <w14:solidFill>
              <w14:schemeClr w14:val="tx1"/>
            </w14:solidFill>
          </w14:textFill>
        </w:rPr>
        <w:t>范围</w:t>
      </w:r>
    </w:p>
    <w:p>
      <w:pPr>
        <w:tabs>
          <w:tab w:val="left" w:pos="756"/>
        </w:tabs>
        <w:snapToGrid w:val="0"/>
        <w:spacing w:line="360" w:lineRule="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 比选技术部分</w:t>
      </w:r>
      <w:r>
        <w:rPr>
          <w:rFonts w:hint="eastAsia" w:ascii="宋体" w:hAnsi="宋体"/>
          <w:color w:val="000000" w:themeColor="text1"/>
          <w:sz w:val="24"/>
          <w:highlight w:val="none"/>
          <w:lang w:eastAsia="zh-CN"/>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 比选申请人文件的编制</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3.1比选申请人文件商务部分应提供以下内容：</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3.1.1比选申请人承诺函</w:t>
      </w:r>
    </w:p>
    <w:p>
      <w:pPr>
        <w:pStyle w:val="28"/>
        <w:spacing w:line="360" w:lineRule="auto"/>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highlight w:val="none"/>
          <w14:textFill>
            <w14:solidFill>
              <w14:schemeClr w14:val="tx1"/>
            </w14:solidFill>
          </w14:textFill>
        </w:rPr>
        <w:t>比选申请人承诺函</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很荣幸能参与</w:t>
      </w:r>
      <w:r>
        <w:rPr>
          <w:rFonts w:hint="eastAsia" w:ascii="宋体" w:hAnsi="宋体" w:cs="宋体"/>
          <w:color w:val="000000" w:themeColor="text1"/>
          <w:sz w:val="24"/>
          <w:highlight w:val="none"/>
          <w:u w:val="single"/>
          <w:lang w:eastAsia="zh-CN"/>
          <w14:textFill>
            <w14:solidFill>
              <w14:schemeClr w14:val="tx1"/>
            </w14:solidFill>
          </w14:textFill>
        </w:rPr>
        <w:t>天然气管线工程用地预审服务</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的比选</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我代表</w:t>
      </w:r>
      <w:r>
        <w:rPr>
          <w:rFonts w:hint="eastAsia" w:ascii="宋体" w:hAnsi="宋体" w:cs="宋体"/>
          <w:color w:val="000000" w:themeColor="text1"/>
          <w:sz w:val="24"/>
          <w:highlight w:val="none"/>
          <w:u w:val="single"/>
          <w14:textFill>
            <w14:solidFill>
              <w14:schemeClr w14:val="tx1"/>
            </w14:solidFill>
          </w14:textFill>
        </w:rPr>
        <w:t xml:space="preserve">    （比选申请人名称）    </w:t>
      </w:r>
      <w:r>
        <w:rPr>
          <w:rFonts w:hint="eastAsia" w:ascii="宋体" w:hAnsi="宋体" w:cs="宋体"/>
          <w:color w:val="000000" w:themeColor="text1"/>
          <w:sz w:val="24"/>
          <w:highlight w:val="none"/>
          <w14:textFill>
            <w14:solidFill>
              <w14:schemeClr w14:val="tx1"/>
            </w14:solidFill>
          </w14:textFill>
        </w:rPr>
        <w:t>,承诺</w:t>
      </w:r>
      <w:r>
        <w:rPr>
          <w:rFonts w:hint="eastAsia" w:ascii="宋体" w:hAnsi="宋体" w:cs="宋体"/>
          <w:color w:val="000000" w:themeColor="text1"/>
          <w:sz w:val="24"/>
          <w:highlight w:val="none"/>
          <w:lang w:val="en-US" w:eastAsia="zh-CN"/>
          <w14:textFill>
            <w14:solidFill>
              <w14:schemeClr w14:val="tx1"/>
            </w14:solidFill>
          </w14:textFill>
        </w:rPr>
        <w:t>如下</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lang w:val="en-US" w:eastAsia="zh-CN"/>
          <w14:textFill>
            <w14:solidFill>
              <w14:schemeClr w14:val="tx1"/>
            </w14:solidFill>
          </w14:textFill>
        </w:rPr>
        <w:t>我方</w:t>
      </w:r>
      <w:r>
        <w:rPr>
          <w:rFonts w:hint="eastAsia" w:ascii="宋体" w:hAnsi="宋体" w:cs="宋体"/>
          <w:color w:val="000000" w:themeColor="text1"/>
          <w:sz w:val="24"/>
          <w:highlight w:val="none"/>
          <w14:textFill>
            <w14:solidFill>
              <w14:schemeClr w14:val="tx1"/>
            </w14:solidFill>
          </w14:textFill>
        </w:rPr>
        <w:t>完全理解和接受比选文件的一切规定和要求。</w:t>
      </w:r>
    </w:p>
    <w:p>
      <w:pPr>
        <w:pStyle w:val="2"/>
        <w:spacing w:line="360" w:lineRule="auto"/>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default" w:ascii="宋体" w:hAnsi="宋体" w:cs="宋体"/>
          <w:color w:val="000000" w:themeColor="text1"/>
          <w:sz w:val="24"/>
          <w:szCs w:val="24"/>
          <w:highlight w:val="none"/>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与比选项目</w:t>
      </w:r>
      <w:r>
        <w:rPr>
          <w:rFonts w:hint="default" w:ascii="宋体" w:hAnsi="宋体" w:cs="宋体"/>
          <w:color w:val="000000" w:themeColor="text1"/>
          <w:sz w:val="24"/>
          <w:szCs w:val="24"/>
          <w:highlight w:val="none"/>
          <w14:textFill>
            <w14:solidFill>
              <w14:schemeClr w14:val="tx1"/>
            </w14:solidFill>
          </w14:textFill>
        </w:rPr>
        <w:t>相</w:t>
      </w:r>
      <w:r>
        <w:rPr>
          <w:rFonts w:hint="eastAsia" w:ascii="宋体" w:hAnsi="宋体" w:cs="宋体"/>
          <w:color w:val="000000" w:themeColor="text1"/>
          <w:sz w:val="24"/>
          <w:szCs w:val="24"/>
          <w:highlight w:val="none"/>
          <w:lang w:val="en-US" w:eastAsia="zh-CN"/>
          <w14:textFill>
            <w14:solidFill>
              <w14:schemeClr w14:val="tx1"/>
            </w14:solidFill>
          </w14:textFill>
        </w:rPr>
        <w:t>适应的</w:t>
      </w:r>
      <w:r>
        <w:rPr>
          <w:rFonts w:hint="default" w:ascii="宋体" w:hAnsi="宋体" w:cs="宋体"/>
          <w:color w:val="000000" w:themeColor="text1"/>
          <w:sz w:val="24"/>
          <w:szCs w:val="24"/>
          <w:highlight w:val="none"/>
          <w14:textFill>
            <w14:solidFill>
              <w14:schemeClr w14:val="tx1"/>
            </w14:solidFill>
          </w14:textFill>
        </w:rPr>
        <w:t>资质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资格、人员、业绩。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.若中标，我方将按照比选文件的规定与比选人签订合同，严格履行合同义务。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4</w:t>
      </w:r>
      <w:r>
        <w:rPr>
          <w:rFonts w:hint="eastAsia" w:ascii="宋体" w:hAnsi="宋体" w:cs="宋体"/>
          <w:color w:val="000000" w:themeColor="text1"/>
          <w:sz w:val="24"/>
          <w:highlight w:val="none"/>
          <w14:textFill>
            <w14:solidFill>
              <w14:schemeClr w14:val="tx1"/>
            </w14:solidFill>
          </w14:textFill>
        </w:rPr>
        <w:t>.比选过程中，我方若违规，贵方按</w:t>
      </w:r>
      <w:r>
        <w:rPr>
          <w:rFonts w:hint="eastAsia" w:ascii="宋体" w:hAnsi="宋体" w:cs="宋体"/>
          <w:color w:val="000000" w:themeColor="text1"/>
          <w:sz w:val="24"/>
          <w:highlight w:val="none"/>
          <w:lang w:val="en-US" w:eastAsia="zh-CN"/>
          <w14:textFill>
            <w14:solidFill>
              <w14:schemeClr w14:val="tx1"/>
            </w14:solidFill>
          </w14:textFill>
        </w:rPr>
        <w:t>相关</w:t>
      </w:r>
      <w:r>
        <w:rPr>
          <w:rFonts w:hint="eastAsia" w:ascii="宋体" w:hAnsi="宋体" w:cs="宋体"/>
          <w:color w:val="000000" w:themeColor="text1"/>
          <w:sz w:val="24"/>
          <w:highlight w:val="none"/>
          <w14:textFill>
            <w14:solidFill>
              <w14:schemeClr w14:val="tx1"/>
            </w14:solidFill>
          </w14:textFill>
        </w:rPr>
        <w:t>规定给予</w:t>
      </w:r>
      <w:r>
        <w:rPr>
          <w:rFonts w:hint="eastAsia" w:ascii="宋体" w:hAnsi="宋体" w:cs="宋体"/>
          <w:color w:val="000000" w:themeColor="text1"/>
          <w:sz w:val="24"/>
          <w:highlight w:val="none"/>
          <w:lang w:val="en-US" w:eastAsia="zh-CN"/>
          <w14:textFill>
            <w14:solidFill>
              <w14:schemeClr w14:val="tx1"/>
            </w14:solidFill>
          </w14:textFill>
        </w:rPr>
        <w:t>惩罚</w:t>
      </w:r>
      <w:r>
        <w:rPr>
          <w:rFonts w:hint="eastAsia" w:ascii="宋体" w:hAnsi="宋体" w:cs="宋体"/>
          <w:color w:val="000000" w:themeColor="text1"/>
          <w:sz w:val="24"/>
          <w:highlight w:val="none"/>
          <w14:textFill>
            <w14:solidFill>
              <w14:schemeClr w14:val="tx1"/>
            </w14:solidFill>
          </w14:textFill>
        </w:rPr>
        <w:t>，我方完全接受。</w:t>
      </w:r>
    </w:p>
    <w:p>
      <w:pPr>
        <w:tabs>
          <w:tab w:val="left" w:pos="36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我方理解不一定最低价中标，不要求</w:t>
      </w:r>
      <w:r>
        <w:rPr>
          <w:rFonts w:hint="eastAsia" w:ascii="宋体" w:hAnsi="宋体" w:cs="宋体"/>
          <w:color w:val="000000" w:themeColor="text1"/>
          <w:sz w:val="24"/>
          <w:highlight w:val="none"/>
          <w:lang w:val="en-US" w:eastAsia="zh-CN"/>
          <w14:textFill>
            <w14:solidFill>
              <w14:schemeClr w14:val="tx1"/>
            </w14:solidFill>
          </w14:textFill>
        </w:rPr>
        <w:t>比选人</w:t>
      </w:r>
      <w:r>
        <w:rPr>
          <w:rFonts w:hint="eastAsia" w:ascii="宋体" w:hAnsi="宋体" w:cs="宋体"/>
          <w:color w:val="000000" w:themeColor="text1"/>
          <w:sz w:val="24"/>
          <w:highlight w:val="none"/>
          <w14:textFill>
            <w14:solidFill>
              <w14:schemeClr w14:val="tx1"/>
            </w14:solidFill>
          </w14:textFill>
        </w:rPr>
        <w:t>对未中标</w:t>
      </w:r>
      <w:r>
        <w:rPr>
          <w:rFonts w:hint="eastAsia" w:ascii="宋体" w:hAnsi="宋体" w:cs="宋体"/>
          <w:color w:val="000000" w:themeColor="text1"/>
          <w:sz w:val="24"/>
          <w:highlight w:val="none"/>
          <w:lang w:val="en-US" w:eastAsia="zh-CN"/>
          <w14:textFill>
            <w14:solidFill>
              <w14:schemeClr w14:val="tx1"/>
            </w14:solidFill>
          </w14:textFill>
        </w:rPr>
        <w:t>原因</w:t>
      </w:r>
      <w:r>
        <w:rPr>
          <w:rFonts w:hint="eastAsia" w:ascii="宋体" w:hAnsi="宋体" w:cs="宋体"/>
          <w:color w:val="000000" w:themeColor="text1"/>
          <w:sz w:val="24"/>
          <w:highlight w:val="none"/>
          <w14:textFill>
            <w14:solidFill>
              <w14:schemeClr w14:val="tx1"/>
            </w14:solidFill>
          </w14:textFill>
        </w:rPr>
        <w:t>做出任何解释。</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3.1.2比选申请人法定代表人授权书</w:t>
      </w:r>
    </w:p>
    <w:p>
      <w:pPr>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比选申请人法定代表人授权书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（授权人姓名）</w:t>
      </w:r>
      <w:r>
        <w:rPr>
          <w:rFonts w:hint="eastAsia" w:ascii="宋体" w:hAnsi="宋体" w:cs="宋体"/>
          <w:color w:val="000000" w:themeColor="text1"/>
          <w:sz w:val="24"/>
          <w:highlight w:val="none"/>
          <w14:textFill>
            <w14:solidFill>
              <w14:schemeClr w14:val="tx1"/>
            </w14:solidFill>
          </w14:textFill>
        </w:rPr>
        <w:t>授权</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（被授权人姓名）</w:t>
      </w:r>
      <w:r>
        <w:rPr>
          <w:rFonts w:hint="eastAsia" w:ascii="宋体" w:hAnsi="宋体" w:cs="宋体"/>
          <w:color w:val="000000" w:themeColor="text1"/>
          <w:sz w:val="24"/>
          <w:highlight w:val="none"/>
          <w14:textFill>
            <w14:solidFill>
              <w14:schemeClr w14:val="tx1"/>
            </w14:solidFill>
          </w14:textFill>
        </w:rPr>
        <w:t>代表我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全权办理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en-US" w:eastAsia="zh-CN"/>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val="en-US" w:eastAsia="zh-CN"/>
          <w14:textFill>
            <w14:solidFill>
              <w14:schemeClr w14:val="tx1"/>
            </w14:solidFill>
          </w14:textFill>
        </w:rPr>
        <w:t>投</w:t>
      </w:r>
      <w:r>
        <w:rPr>
          <w:rFonts w:hint="eastAsia" w:ascii="宋体" w:hAnsi="宋体" w:cs="宋体"/>
          <w:color w:val="000000" w:themeColor="text1"/>
          <w:sz w:val="24"/>
          <w:highlight w:val="none"/>
          <w14:textFill>
            <w14:solidFill>
              <w14:schemeClr w14:val="tx1"/>
            </w14:solidFill>
          </w14:textFill>
        </w:rPr>
        <w:t>选工作。</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对被授权人的签名负全部责任。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8"/>
        <w:adjustRightInd/>
        <w:spacing w:line="360" w:lineRule="auto"/>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w:t>
      </w:r>
      <w:r>
        <w:rPr>
          <w:rFonts w:hint="eastAsia" w:hAnsi="宋体" w:cs="宋体"/>
          <w:color w:val="000000" w:themeColor="text1"/>
          <w:kern w:val="2"/>
          <w:highlight w:val="none"/>
          <w14:textFill>
            <w14:solidFill>
              <w14:schemeClr w14:val="tx1"/>
            </w14:solidFill>
          </w14:textFill>
        </w:rPr>
        <w:t>比选申请人关于资格的声明函</w:t>
      </w:r>
    </w:p>
    <w:p>
      <w:pPr>
        <w:pStyle w:val="28"/>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szCs w:val="24"/>
          <w:highlight w:val="none"/>
          <w14:textFill>
            <w14:solidFill>
              <w14:schemeClr w14:val="tx1"/>
            </w14:solidFill>
          </w14:textFill>
        </w:rPr>
        <w:t>比选申请人关于资格的声明</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我公司愿意</w:t>
      </w:r>
      <w:r>
        <w:rPr>
          <w:rFonts w:hint="eastAsia" w:ascii="宋体" w:hAnsi="宋体" w:cs="宋体"/>
          <w:color w:val="000000" w:themeColor="text1"/>
          <w:sz w:val="24"/>
          <w:highlight w:val="none"/>
          <w:lang w:val="en-US" w:eastAsia="zh-CN"/>
          <w14:textFill>
            <w14:solidFill>
              <w14:schemeClr w14:val="tx1"/>
            </w14:solidFill>
          </w14:textFill>
        </w:rPr>
        <w:t>参加</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名称）</w:t>
      </w:r>
      <w:r>
        <w:rPr>
          <w:rFonts w:hint="eastAsia" w:ascii="宋体" w:hAnsi="宋体" w:cs="宋体"/>
          <w:color w:val="000000" w:themeColor="text1"/>
          <w:sz w:val="24"/>
          <w:highlight w:val="none"/>
          <w:lang w:val="en-US" w:eastAsia="zh-CN"/>
          <w14:textFill>
            <w14:solidFill>
              <w14:schemeClr w14:val="tx1"/>
            </w14:solidFill>
          </w14:textFill>
        </w:rPr>
        <w:t>的投</w:t>
      </w:r>
      <w:r>
        <w:rPr>
          <w:rFonts w:hint="eastAsia" w:ascii="宋体" w:hAnsi="宋体" w:cs="宋体"/>
          <w:color w:val="000000" w:themeColor="text1"/>
          <w:sz w:val="24"/>
          <w:highlight w:val="none"/>
          <w14:textFill>
            <w14:solidFill>
              <w14:schemeClr w14:val="tx1"/>
            </w14:solidFill>
          </w14:textFill>
        </w:rPr>
        <w:t>选。比选</w:t>
      </w:r>
      <w:r>
        <w:rPr>
          <w:rFonts w:hint="eastAsia" w:ascii="宋体" w:hAnsi="宋体" w:cs="宋体"/>
          <w:color w:val="000000" w:themeColor="text1"/>
          <w:sz w:val="24"/>
          <w:highlight w:val="none"/>
          <w:lang w:val="en-US" w:eastAsia="zh-CN"/>
          <w14:textFill>
            <w14:solidFill>
              <w14:schemeClr w14:val="tx1"/>
            </w14:solidFill>
          </w14:textFill>
        </w:rPr>
        <w:t>申请</w:t>
      </w:r>
      <w:r>
        <w:rPr>
          <w:rFonts w:hint="eastAsia" w:ascii="宋体" w:hAnsi="宋体" w:cs="宋体"/>
          <w:color w:val="000000" w:themeColor="text1"/>
          <w:sz w:val="24"/>
          <w:highlight w:val="none"/>
          <w14:textFill>
            <w14:solidFill>
              <w14:schemeClr w14:val="tx1"/>
            </w14:solidFill>
          </w14:textFill>
        </w:rPr>
        <w:t>文件中所有关于比选申请人资格文件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陈述均真实、准确。若有违背，我公司愿为由此而产生的一切后果负责。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特此声明！</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3.1.4</w:t>
      </w:r>
      <w:r>
        <w:rPr>
          <w:rFonts w:hint="eastAsia" w:ascii="宋体" w:hAnsi="宋体" w:cs="宋体"/>
          <w:bCs/>
          <w:color w:val="000000" w:themeColor="text1"/>
          <w:sz w:val="24"/>
          <w:highlight w:val="none"/>
          <w14:textFill>
            <w14:solidFill>
              <w14:schemeClr w14:val="tx1"/>
            </w14:solidFill>
          </w14:textFill>
        </w:rPr>
        <w:t>比选申请人资格证明文件</w:t>
      </w:r>
    </w:p>
    <w:p>
      <w:pPr>
        <w:jc w:val="center"/>
        <w:rPr>
          <w:rFonts w:ascii="宋体" w:hAnsi="宋体" w:cs="宋体"/>
          <w:b/>
          <w:bCs/>
          <w:color w:val="000000" w:themeColor="text1"/>
          <w:sz w:val="24"/>
          <w:highlight w:val="none"/>
          <w14:textFill>
            <w14:solidFill>
              <w14:schemeClr w14:val="tx1"/>
            </w14:solidFill>
          </w14:textFill>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比选申请人资格</w:t>
      </w:r>
      <w:r>
        <w:rPr>
          <w:rFonts w:hint="eastAsia" w:ascii="宋体" w:hAnsi="宋体" w:cs="宋体"/>
          <w:b/>
          <w:bCs/>
          <w:color w:val="auto"/>
          <w:sz w:val="24"/>
          <w:highlight w:val="none"/>
          <w:lang w:val="en-US" w:eastAsia="zh-CN"/>
        </w:rPr>
        <w:t>证明</w:t>
      </w:r>
      <w:r>
        <w:rPr>
          <w:rFonts w:hint="eastAsia" w:ascii="宋体" w:hAnsi="宋体" w:cs="宋体"/>
          <w:b/>
          <w:bCs/>
          <w:color w:val="auto"/>
          <w:sz w:val="24"/>
          <w:highlight w:val="none"/>
        </w:rPr>
        <w:t>文件</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比选申请人为法人</w:t>
      </w:r>
      <w:r>
        <w:rPr>
          <w:rFonts w:hint="eastAsia" w:ascii="宋体" w:hAnsi="宋体" w:cs="宋体"/>
          <w:color w:val="auto"/>
          <w:sz w:val="24"/>
          <w:highlight w:val="none"/>
          <w:lang w:val="en-US" w:eastAsia="zh-CN"/>
        </w:rPr>
        <w:t>或其他组织</w:t>
      </w:r>
      <w:r>
        <w:rPr>
          <w:rFonts w:hint="eastAsia" w:ascii="宋体" w:hAnsi="宋体" w:cs="宋体"/>
          <w:color w:val="auto"/>
          <w:sz w:val="24"/>
          <w:highlight w:val="none"/>
        </w:rPr>
        <w:t>并存续，且未被市场监管部门列入经营异常名录；</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2.营业执照、</w:t>
      </w:r>
      <w:r>
        <w:rPr>
          <w:rFonts w:hint="eastAsia" w:ascii="宋体" w:hAnsi="宋体" w:cs="宋体"/>
          <w:color w:val="auto"/>
          <w:sz w:val="24"/>
          <w:highlight w:val="none"/>
        </w:rPr>
        <w:t>资质证书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业绩证明文件</w:t>
      </w:r>
      <w:r>
        <w:rPr>
          <w:rFonts w:hint="eastAsia" w:ascii="宋体" w:hAnsi="宋体" w:cs="宋体"/>
          <w:color w:val="auto"/>
          <w:sz w:val="24"/>
          <w:highlight w:val="none"/>
        </w:rPr>
        <w:t>等；</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3.2比选申请文件技术部分应</w:t>
      </w:r>
      <w:r>
        <w:rPr>
          <w:rFonts w:hint="eastAsia" w:ascii="宋体" w:hAnsi="宋体" w:cs="宋体"/>
          <w:b/>
          <w:color w:val="auto"/>
          <w:sz w:val="24"/>
          <w:highlight w:val="none"/>
          <w:lang w:val="en-US" w:eastAsia="zh-CN"/>
        </w:rPr>
        <w:t>根据技术规范书要求进行编制。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3.3.比选报价</w:t>
      </w:r>
    </w:p>
    <w:p>
      <w:pPr>
        <w:spacing w:line="360" w:lineRule="auto"/>
        <w:ind w:firstLine="482" w:firstLineChars="200"/>
        <w:rPr>
          <w:rFonts w:ascii="宋体" w:hAnsi="宋体" w:cs="宋体"/>
          <w:b/>
          <w:bCs/>
          <w:color w:val="auto"/>
          <w:sz w:val="24"/>
          <w:highlight w:val="none"/>
        </w:rPr>
      </w:pPr>
    </w:p>
    <w:tbl>
      <w:tblPr>
        <w:tblStyle w:val="2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306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159" w:type="dxa"/>
            <w:noWrap w:val="0"/>
            <w:vAlign w:val="center"/>
          </w:tcPr>
          <w:p>
            <w:pPr>
              <w:jc w:val="center"/>
              <w:rPr>
                <w:highlight w:val="none"/>
              </w:rPr>
            </w:pPr>
          </w:p>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rPr>
              <w:t>项目名称</w:t>
            </w:r>
          </w:p>
        </w:tc>
        <w:tc>
          <w:tcPr>
            <w:tcW w:w="3066" w:type="dxa"/>
            <w:noWrap w:val="0"/>
            <w:vAlign w:val="center"/>
          </w:tcPr>
          <w:p>
            <w:pPr>
              <w:jc w:val="center"/>
              <w:rPr>
                <w:rFonts w:hint="eastAsia"/>
                <w:b/>
                <w:highlight w:val="none"/>
              </w:rPr>
            </w:pPr>
          </w:p>
          <w:p>
            <w:pPr>
              <w:jc w:val="center"/>
              <w:rPr>
                <w:rFonts w:hint="default" w:eastAsia="宋体"/>
                <w:b/>
                <w:highlight w:val="none"/>
                <w:lang w:val="en-US" w:eastAsia="zh-CN"/>
              </w:rPr>
            </w:pPr>
            <w:r>
              <w:rPr>
                <w:rFonts w:hint="eastAsia"/>
                <w:b/>
                <w:highlight w:val="none"/>
              </w:rPr>
              <w:t>报价</w:t>
            </w:r>
            <w:r>
              <w:rPr>
                <w:rFonts w:hint="eastAsia"/>
                <w:b/>
                <w:highlight w:val="none"/>
                <w:lang w:eastAsia="zh-CN"/>
              </w:rPr>
              <w:t>（</w:t>
            </w:r>
            <w:r>
              <w:rPr>
                <w:rFonts w:hint="eastAsia"/>
                <w:b/>
                <w:highlight w:val="none"/>
                <w:lang w:val="en-US" w:eastAsia="zh-CN"/>
              </w:rPr>
              <w:t>元）</w:t>
            </w:r>
          </w:p>
          <w:p>
            <w:pPr>
              <w:jc w:val="center"/>
              <w:rPr>
                <w:rFonts w:hint="eastAsia" w:ascii="Times New Roman" w:hAnsi="Times New Roman" w:eastAsia="宋体" w:cs="Times New Roman"/>
                <w:b/>
                <w:kern w:val="2"/>
                <w:sz w:val="21"/>
                <w:szCs w:val="24"/>
                <w:highlight w:val="none"/>
                <w:lang w:val="en-US" w:eastAsia="zh-CN" w:bidi="ar-SA"/>
              </w:rPr>
            </w:pPr>
          </w:p>
        </w:tc>
        <w:tc>
          <w:tcPr>
            <w:tcW w:w="2074" w:type="dxa"/>
            <w:noWrap w:val="0"/>
            <w:vAlign w:val="center"/>
          </w:tcPr>
          <w:p>
            <w:pPr>
              <w:jc w:val="center"/>
              <w:rPr>
                <w:highlight w:val="none"/>
              </w:rPr>
            </w:pPr>
          </w:p>
          <w:p>
            <w:pPr>
              <w:jc w:val="center"/>
              <w:rPr>
                <w:rFonts w:hint="eastAsia" w:ascii="Times New Roman" w:hAnsi="Times New Roman" w:eastAsia="宋体" w:cs="Times New Roman"/>
                <w:b/>
                <w:kern w:val="2"/>
                <w:sz w:val="21"/>
                <w:szCs w:val="24"/>
                <w:highlight w:val="none"/>
                <w:lang w:val="en-US" w:eastAsia="zh-CN" w:bidi="ar-SA"/>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159"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川投泸州天然气发电项目天然气管线工程用地预审服务</w:t>
            </w:r>
          </w:p>
        </w:tc>
        <w:tc>
          <w:tcPr>
            <w:tcW w:w="3066"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p>
        </w:tc>
        <w:tc>
          <w:tcPr>
            <w:tcW w:w="2074"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含</w:t>
            </w:r>
            <w:r>
              <w:rPr>
                <w:rFonts w:hint="eastAsia"/>
                <w:b/>
                <w:highlight w:val="none"/>
              </w:rPr>
              <w:t>税率：</w:t>
            </w:r>
            <w:r>
              <w:rPr>
                <w:rFonts w:hint="eastAsia"/>
                <w:b/>
                <w:highlight w:val="none"/>
                <w:u w:val="single"/>
              </w:rPr>
              <w:t xml:space="preserve">     </w:t>
            </w:r>
            <w:r>
              <w:rPr>
                <w:rFonts w:hint="eastAsia"/>
                <w:b/>
                <w:highlight w:val="none"/>
                <w:u w:val="none"/>
                <w:lang w:val="en-US" w:eastAsia="zh-CN"/>
              </w:rPr>
              <w:t>%</w:t>
            </w:r>
          </w:p>
        </w:tc>
      </w:tr>
    </w:tbl>
    <w:p>
      <w:pPr>
        <w:spacing w:line="360" w:lineRule="auto"/>
        <w:jc w:val="both"/>
        <w:rPr>
          <w:rFonts w:hint="eastAsia" w:ascii="宋体" w:hAnsi="宋体" w:cs="宋体"/>
          <w:b w:val="0"/>
          <w:bCs/>
          <w:color w:val="000000" w:themeColor="text1"/>
          <w:sz w:val="24"/>
          <w:highlight w:val="none"/>
          <w14:textFill>
            <w14:solidFill>
              <w14:schemeClr w14:val="tx1"/>
            </w14:solidFill>
          </w14:textFill>
        </w:rPr>
      </w:pPr>
    </w:p>
    <w:p>
      <w:pPr>
        <w:spacing w:line="360" w:lineRule="auto"/>
        <w:jc w:val="both"/>
        <w:rPr>
          <w:rFonts w:hint="eastAsia" w:ascii="宋体" w:hAnsi="宋体" w:cs="宋体"/>
          <w:color w:val="auto"/>
          <w:sz w:val="24"/>
          <w:highlight w:val="none"/>
        </w:rPr>
      </w:pPr>
      <w:r>
        <w:rPr>
          <w:rFonts w:hint="eastAsia" w:ascii="宋体" w:hAnsi="宋体" w:cs="宋体"/>
          <w:b w:val="0"/>
          <w:bCs/>
          <w:color w:val="000000" w:themeColor="text1"/>
          <w:sz w:val="24"/>
          <w:highlight w:val="none"/>
          <w14:textFill>
            <w14:solidFill>
              <w14:schemeClr w14:val="tx1"/>
            </w14:solidFill>
          </w14:textFill>
        </w:rPr>
        <w:t>说明：</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报价包含完成技术规范书</w: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所有</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工作内容。</w:t>
      </w:r>
    </w:p>
    <w:p>
      <w:pPr>
        <w:spacing w:line="360" w:lineRule="auto"/>
        <w:ind w:left="3238" w:leftChars="1542"/>
        <w:rPr>
          <w:rFonts w:hint="eastAsia" w:ascii="宋体" w:hAnsi="宋体" w:cs="宋体"/>
          <w:color w:val="auto"/>
          <w:sz w:val="24"/>
          <w:highlight w:val="none"/>
          <w:u w:val="single"/>
        </w:rPr>
      </w:pPr>
      <w:r>
        <w:rPr>
          <w:rFonts w:hint="eastAsia" w:ascii="宋体" w:hAnsi="宋体" w:cs="宋体"/>
          <w:color w:val="auto"/>
          <w:sz w:val="24"/>
          <w:highlight w:val="none"/>
        </w:rPr>
        <w:t>法定代表人或其授权人（签字）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u w:val="none"/>
          <w:lang w:val="en-US" w:eastAsia="zh-CN"/>
        </w:rPr>
        <w:t xml:space="preserve">联系电话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left="3238" w:leftChars="1542"/>
        <w:rPr>
          <w:rFonts w:ascii="宋体" w:hAnsi="宋体" w:cs="宋体"/>
          <w:color w:val="auto"/>
          <w:sz w:val="24"/>
          <w:highlight w:val="none"/>
        </w:rPr>
      </w:pPr>
      <w:r>
        <w:rPr>
          <w:rFonts w:hint="eastAsia" w:ascii="宋体" w:hAnsi="宋体" w:cs="宋体"/>
          <w:color w:val="auto"/>
          <w:sz w:val="24"/>
          <w:highlight w:val="none"/>
          <w:lang w:val="en-US" w:eastAsia="zh-CN"/>
        </w:rPr>
        <w:t>报价单位</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全</w:t>
      </w:r>
      <w:r>
        <w:rPr>
          <w:rFonts w:hint="eastAsia" w:ascii="宋体" w:hAnsi="宋体" w:cs="宋体"/>
          <w:color w:val="auto"/>
          <w:sz w:val="24"/>
          <w:highlight w:val="none"/>
        </w:rPr>
        <w:t>称</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公章）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pPr>
        <w:spacing w:line="360" w:lineRule="auto"/>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rPr>
        <w:t xml:space="preserve">日   </w:t>
      </w:r>
      <w:r>
        <w:rPr>
          <w:rFonts w:ascii="宋体" w:hAnsi="宋体" w:cs="宋体"/>
          <w:color w:val="auto"/>
          <w:sz w:val="24"/>
          <w:highlight w:val="none"/>
        </w:rPr>
        <w:t xml:space="preserve">          </w:t>
      </w:r>
      <w:r>
        <w:rPr>
          <w:rFonts w:hint="eastAsia" w:ascii="宋体" w:hAnsi="宋体" w:cs="宋体"/>
          <w:color w:val="auto"/>
          <w:sz w:val="24"/>
          <w:highlight w:val="none"/>
        </w:rPr>
        <w:t xml:space="preserve">期 </w:t>
      </w:r>
      <w:r>
        <w:rPr>
          <w:rFonts w:hint="eastAsia" w:ascii="宋体" w:hAnsi="宋体" w:cs="宋体"/>
          <w:color w:val="auto"/>
          <w:sz w:val="24"/>
          <w:highlight w:val="none"/>
          <w:u w:val="single"/>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bookmarkStart w:id="1" w:name="_Toc230662931"/>
      <w:r>
        <w:rPr>
          <w:rFonts w:hint="eastAsia" w:ascii="宋体" w:hAnsi="宋体" w:cs="宋体"/>
          <w:b/>
          <w:color w:val="000000" w:themeColor="text1"/>
          <w:sz w:val="24"/>
          <w:highlight w:val="none"/>
          <w14:textFill>
            <w14:solidFill>
              <w14:schemeClr w14:val="tx1"/>
            </w14:solidFill>
          </w14:textFill>
        </w:rPr>
        <w:t>．</w:t>
      </w:r>
      <w:bookmarkEnd w:id="1"/>
      <w:r>
        <w:rPr>
          <w:rFonts w:hint="eastAsia" w:ascii="宋体" w:hAnsi="宋体" w:cs="宋体"/>
          <w:b/>
          <w:color w:val="000000" w:themeColor="text1"/>
          <w:sz w:val="24"/>
          <w:highlight w:val="none"/>
          <w14:textFill>
            <w14:solidFill>
              <w14:schemeClr w14:val="tx1"/>
            </w14:solidFill>
          </w14:textFill>
        </w:rPr>
        <w:t>比选申请人</w:t>
      </w:r>
      <w:r>
        <w:rPr>
          <w:rFonts w:hint="eastAsia" w:ascii="宋体" w:hAnsi="宋体" w:cs="宋体"/>
          <w:b/>
          <w:color w:val="000000" w:themeColor="text1"/>
          <w:sz w:val="24"/>
          <w:highlight w:val="none"/>
          <w:lang w:val="en-US" w:eastAsia="zh-CN"/>
          <w14:textFill>
            <w14:solidFill>
              <w14:schemeClr w14:val="tx1"/>
            </w14:solidFill>
          </w14:textFill>
        </w:rPr>
        <w:t>的资格资质业绩要求</w:t>
      </w:r>
    </w:p>
    <w:p>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比选申请人为法人</w:t>
      </w:r>
      <w:r>
        <w:rPr>
          <w:rFonts w:hint="eastAsia" w:ascii="宋体" w:hAnsi="宋体" w:cs="宋体"/>
          <w:color w:val="000000" w:themeColor="text1"/>
          <w:sz w:val="24"/>
          <w:highlight w:val="none"/>
          <w:lang w:val="en-US" w:eastAsia="zh-CN"/>
          <w14:textFill>
            <w14:solidFill>
              <w14:schemeClr w14:val="tx1"/>
            </w14:solidFill>
          </w14:textFill>
        </w:rPr>
        <w:t>或其他组织</w:t>
      </w:r>
      <w:r>
        <w:rPr>
          <w:rFonts w:hint="eastAsia" w:ascii="宋体" w:hAnsi="宋体" w:cs="宋体"/>
          <w:color w:val="000000" w:themeColor="text1"/>
          <w:sz w:val="24"/>
          <w:highlight w:val="none"/>
          <w14:textFill>
            <w14:solidFill>
              <w14:schemeClr w14:val="tx1"/>
            </w14:solidFill>
          </w14:textFill>
        </w:rPr>
        <w:t>且未被市场监管部门列入经营异常名录</w:t>
      </w:r>
      <w:r>
        <w:rPr>
          <w:rFonts w:hint="eastAsia" w:ascii="宋体" w:hAnsi="宋体" w:cs="宋体"/>
          <w:color w:val="000000" w:themeColor="text1"/>
          <w:sz w:val="24"/>
          <w:highlight w:val="none"/>
          <w:lang w:eastAsia="zh-CN"/>
          <w14:textFill>
            <w14:solidFill>
              <w14:schemeClr w14:val="tx1"/>
            </w14:solidFill>
          </w14:textFill>
        </w:rPr>
        <w:t>；</w:t>
      </w:r>
    </w:p>
    <w:p>
      <w:pPr>
        <w:numPr>
          <w:ilvl w:val="0"/>
          <w:numId w:val="0"/>
        </w:numPr>
        <w:wordWrap w:val="0"/>
        <w:topLinePunct/>
        <w:spacing w:line="360" w:lineRule="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比选申请人</w:t>
      </w:r>
      <w:r>
        <w:rPr>
          <w:rFonts w:hint="eastAsia" w:asciiTheme="minorEastAsia" w:hAnsiTheme="minorEastAsia" w:eastAsiaTheme="minorEastAsia" w:cstheme="minorEastAsia"/>
          <w:b w:val="0"/>
          <w:bCs w:val="0"/>
          <w:kern w:val="2"/>
          <w:sz w:val="24"/>
          <w:szCs w:val="24"/>
          <w:highlight w:val="none"/>
          <w:lang w:val="en-US" w:eastAsia="zh-CN" w:bidi="ar-SA"/>
        </w:rPr>
        <w:t>具有城乡规划编制乙级以上（含乙级）资质；</w:t>
      </w:r>
    </w:p>
    <w:p>
      <w:pPr>
        <w:numPr>
          <w:ilvl w:val="0"/>
          <w:numId w:val="0"/>
        </w:numPr>
        <w:wordWrap w:val="0"/>
        <w:topLinePunct/>
        <w:spacing w:line="360" w:lineRule="auto"/>
        <w:rPr>
          <w:rFonts w:hint="eastAsia" w:ascii="宋体" w:hAnsi="宋体" w:eastAsia="宋体" w:cs="Times New Roman"/>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4.3</w:t>
      </w:r>
      <w:r>
        <w:rPr>
          <w:rFonts w:hint="eastAsia" w:ascii="宋体" w:hAnsi="宋体" w:cs="宋体"/>
          <w:color w:val="000000" w:themeColor="text1"/>
          <w:sz w:val="24"/>
          <w:highlight w:val="none"/>
          <w14:textFill>
            <w14:solidFill>
              <w14:schemeClr w14:val="tx1"/>
            </w14:solidFill>
          </w14:textFill>
        </w:rPr>
        <w:t>比选申请人</w:t>
      </w:r>
      <w:r>
        <w:rPr>
          <w:rFonts w:hint="eastAsia" w:asciiTheme="minorEastAsia" w:hAnsiTheme="minorEastAsia" w:eastAsiaTheme="minorEastAsia" w:cstheme="minorEastAsia"/>
          <w:b w:val="0"/>
          <w:bCs w:val="0"/>
          <w:kern w:val="2"/>
          <w:sz w:val="24"/>
          <w:szCs w:val="24"/>
          <w:highlight w:val="none"/>
          <w:lang w:val="en-US" w:eastAsia="zh-CN" w:bidi="ar-SA"/>
        </w:rPr>
        <w:t>近五年（2019-2023年）开展规划业绩总量不低于3个。</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4.4比选申请人报价不得高于人民币160,000（含税）。</w:t>
      </w:r>
    </w:p>
    <w:p>
      <w:pPr>
        <w:snapToGrid w:val="0"/>
        <w:spacing w:line="360"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比选保证金</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若有</w:t>
      </w:r>
      <w:r>
        <w:rPr>
          <w:rFonts w:hint="eastAsia" w:ascii="宋体" w:hAnsi="宋体" w:cs="宋体"/>
          <w:b/>
          <w:color w:val="000000" w:themeColor="text1"/>
          <w:sz w:val="24"/>
          <w:highlight w:val="none"/>
          <w:lang w:eastAsia="zh-CN"/>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在与中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人签订合同后14日内退还未中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保证金。</w:t>
      </w:r>
    </w:p>
    <w:p>
      <w:pPr>
        <w:pStyle w:val="26"/>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en-US" w:eastAsia="zh-CN"/>
          <w14:textFill>
            <w14:solidFill>
              <w14:schemeClr w14:val="tx1"/>
            </w14:solidFill>
          </w14:textFill>
        </w:rPr>
        <w:t>通过银行转账提交投选证金的，比选申请</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须</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附表并与比选申请文件单独递交</w:t>
      </w:r>
      <w:r>
        <w:rPr>
          <w:rFonts w:hint="eastAsia" w:ascii="宋体" w:hAnsi="宋体" w:cs="宋体"/>
          <w:color w:val="000000" w:themeColor="text1"/>
          <w:sz w:val="24"/>
          <w:highlight w:val="none"/>
          <w14:textFill>
            <w14:solidFill>
              <w14:schemeClr w14:val="tx1"/>
            </w14:solidFill>
          </w14:textFill>
        </w:rPr>
        <w:t>。</w:t>
      </w:r>
    </w:p>
    <w:p>
      <w:pPr>
        <w:pStyle w:val="26"/>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5.2提交保函投比选证金的，比选申请人须准确</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与比选申请文件一并递交，由比选人退还其保函原件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附表：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全称，盖章</w:t>
            </w:r>
            <w:r>
              <w:rPr>
                <w:rFonts w:hint="eastAsia" w:ascii="宋体" w:hAnsi="宋体" w:cs="宋体"/>
                <w:color w:val="000000" w:themeColor="text1"/>
                <w:sz w:val="24"/>
                <w:highlight w:val="none"/>
                <w:lang w:eastAsia="zh-CN"/>
                <w14:textFill>
                  <w14:solidFill>
                    <w14:schemeClr w14:val="tx1"/>
                  </w14:solidFill>
                </w14:textFill>
              </w:rPr>
              <w:t>）</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及电话</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营业（办公）</w:t>
            </w:r>
            <w:r>
              <w:rPr>
                <w:rFonts w:hint="eastAsia" w:ascii="宋体" w:hAnsi="宋体" w:cs="宋体"/>
                <w:color w:val="000000" w:themeColor="text1"/>
                <w:sz w:val="24"/>
                <w:highlight w:val="none"/>
                <w14:textFill>
                  <w14:solidFill>
                    <w14:schemeClr w14:val="tx1"/>
                  </w14:solidFill>
                </w14:textFill>
              </w:rPr>
              <w:t>地址</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w:t>
            </w:r>
            <w:r>
              <w:rPr>
                <w:rFonts w:hint="eastAsia" w:ascii="宋体" w:hAnsi="宋体" w:cs="宋体"/>
                <w:color w:val="000000" w:themeColor="text1"/>
                <w:sz w:val="24"/>
                <w:highlight w:val="none"/>
                <w:lang w:val="en-US" w:eastAsia="zh-CN"/>
                <w14:textFill>
                  <w14:solidFill>
                    <w14:schemeClr w14:val="tx1"/>
                  </w14:solidFill>
                </w14:textFill>
              </w:rPr>
              <w:t>名称</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w:t>
            </w:r>
            <w:r>
              <w:rPr>
                <w:rFonts w:hint="eastAsia" w:ascii="宋体" w:hAnsi="宋体" w:cs="宋体"/>
                <w:color w:val="000000" w:themeColor="text1"/>
                <w:sz w:val="24"/>
                <w:highlight w:val="none"/>
                <w14:textFill>
                  <w14:solidFill>
                    <w14:schemeClr w14:val="tx1"/>
                  </w14:solidFill>
                </w14:textFill>
              </w:rPr>
              <w:t>银行</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64" w:beforeLines="50" w:line="360" w:lineRule="auto"/>
        <w:ind w:firstLine="0" w:firstLineChars="0"/>
        <w:textAlignment w:val="auto"/>
        <w:rPr>
          <w:rFonts w:ascii="宋体" w:hAnsi="宋体" w:cs="宋体"/>
          <w:b/>
          <w:bCs/>
          <w:color w:val="auto"/>
          <w:sz w:val="24"/>
          <w:highlight w:val="none"/>
        </w:rPr>
      </w:pPr>
      <w:r>
        <w:rPr>
          <w:rFonts w:hint="eastAsia" w:ascii="宋体" w:hAnsi="宋体" w:cs="宋体"/>
          <w:b/>
          <w:bCs/>
          <w:color w:val="000000" w:themeColor="text1"/>
          <w:sz w:val="24"/>
          <w:highlight w:val="none"/>
          <w14:textFill>
            <w14:solidFill>
              <w14:schemeClr w14:val="tx1"/>
            </w14:solidFill>
          </w14:textFill>
        </w:rPr>
        <w:t>6.</w:t>
      </w:r>
      <w:r>
        <w:rPr>
          <w:rFonts w:hint="eastAsia" w:ascii="宋体" w:hAnsi="宋体" w:cs="宋体"/>
          <w:b/>
          <w:bCs/>
          <w:color w:val="auto"/>
          <w:sz w:val="24"/>
          <w:highlight w:val="none"/>
        </w:rPr>
        <w:t>合同价款</w:t>
      </w:r>
    </w:p>
    <w:p>
      <w:pPr>
        <w:pStyle w:val="12"/>
        <w:adjustRightInd w:val="0"/>
        <w:snapToGrid w:val="0"/>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合同签订时确定。</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en-GB"/>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付款方式</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本合同</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val="zh-CN"/>
        </w:rPr>
        <w:t xml:space="preserve">预付款；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2乙方完成合同范围内的工作，甲方已收到乙方开具的增值税专用发票，甲方向乙方支付服务费。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sectPr>
          <w:footerReference r:id="rId5" w:type="default"/>
          <w:pgSz w:w="11906" w:h="16838"/>
          <w:pgMar w:top="1247" w:right="1304" w:bottom="1247" w:left="1440" w:header="720" w:footer="851" w:gutter="0"/>
          <w:pgNumType w:fmt="decimal" w:start="1"/>
          <w:cols w:space="720" w:num="1"/>
          <w:docGrid w:linePitch="326" w:charSpace="0"/>
        </w:sectPr>
      </w:pPr>
      <w:r>
        <w:rPr>
          <w:rFonts w:hint="eastAsia" w:ascii="宋体" w:hAnsi="宋体" w:eastAsia="宋体" w:cs="宋体"/>
          <w:color w:val="auto"/>
          <w:sz w:val="24"/>
          <w:highlight w:val="none"/>
          <w:lang w:val="zh-CN"/>
        </w:rPr>
        <w:br w:type="page"/>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column">
                  <wp:posOffset>4114800</wp:posOffset>
                </wp:positionH>
                <wp:positionV relativeFrom="paragraph">
                  <wp:posOffset>310515</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438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Ng9CMrxAQAA4A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y4XPOHFhq+O3n&#10;H78+fb37+YXW2+/f2DyLNASsKfbareNxh2EdM+N9G23+Exe2L8IeTsKqfWKCnJfPLzgT9/7q4VKI&#10;mF4rb1k2Gm60y3yhht0bTJSIQu9Dsts4NjT85cU8wwENX0tNJ9MGIoCuK3fRGy1vtDH5BsZuc20i&#10;20EegPJlOoT7V1hOsgLsx7hyNI5Gr0C+cpKlQyBpHL0InkuwSnJmFD2gbBEg1Am0OSeSUhtHFWRF&#10;Rw2ztfHyQI3Yhqi7npSYlSrzCTW+1Hsc0jxZf+4L0sPD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DNRUNYAAAAJAQAADwAAAAAAAAABACAAAAAiAAAAZHJzL2Rvd25yZXYueG1sUEsBAhQAFAAA&#10;AAgAh07iQNg9CMr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336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LhjKsHxAQAA4A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233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131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O5LLN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028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bookmarkStart w:id="2" w:name="_Hlt54597917"/>
      <w:bookmarkEnd w:id="2"/>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4114800</wp:posOffset>
                </wp:positionH>
                <wp:positionV relativeFrom="paragraph">
                  <wp:posOffset>310515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4.45pt;height:0pt;width:0.05pt;z-index:251669504;mso-width-relative:page;mso-height-relative:page;" filled="f" stroked="t" coordsize="21600,21600" o:allowincell="f" o:gfxdata="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zUVDWAAAACQEAAA8AAAAAAAAAAQAgAAAAIgAAAGRycy9kb3ducmV2LnhtbFBLAQIUABQA&#10;AAAIAIdO4kA4GqPt8gEAAOA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8480;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K/Rmx3xAQAA4gMAAA4AAAAAAAAAAQAgAAAAJQ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7456;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juSyzVAAAACQEAAA8AAAAAAAAAAQAgAAAAIgAAAGRycy9kb3ducmV2LnhtbFBLAQIUABQAAAAI&#10;AIdO4kB4LHyO8AEAAOA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0" allowOverlap="1">
                <wp:simplePos x="0" y="0"/>
                <wp:positionH relativeFrom="column">
                  <wp:posOffset>4038600</wp:posOffset>
                </wp:positionH>
                <wp:positionV relativeFrom="paragraph">
                  <wp:posOffset>207010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8pt;margin-top:16.3pt;height:0pt;width:0.05pt;z-index:251666432;mso-width-relative:page;mso-height-relative:page;" filled="f" stroked="t" coordsize="21600,21600" o:allowincell="f" o:gfxdata="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7kss1QAAAAkBAAAPAAAAAAAAAAEAIAAAACIAAABkcnMvZG93bnJldi54bWxQSwECFAAUAAAA&#10;CACHTuJAGHJehfEBAADg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0" allowOverlap="1">
                <wp:simplePos x="0" y="0"/>
                <wp:positionH relativeFrom="column">
                  <wp:posOffset>3962400</wp:posOffset>
                </wp:positionH>
                <wp:positionV relativeFrom="paragraph">
                  <wp:posOffset>310515</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2pt;margin-top:24.45pt;height:0pt;width:0.05pt;z-index:251665408;mso-width-relative:page;mso-height-relative:page;" filled="f" stroked="t" coordsize="21600,21600" o:allowincell="f" o:gfxdata="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lqh7tYAAAAJAQAADwAAAAAAAAABACAAAAAiAAAAZHJzL2Rvd25yZXYueG1sUEsBAhQAFAAA&#10;AAgAh07iQJ/V6ebxAQAA4gMAAA4AAAAAAAAAAQAgAAAAJQEAAGRycy9lMm9Eb2MueG1sUEsFBgAA&#10;AAAGAAYAWQEAAIgFAAAAAA==&#10;">
                <v:fill on="f" focussize="0,0"/>
                <v:stroke color="#000000" joinstyle="round"/>
                <v:imagedata o:title=""/>
                <o:lock v:ext="edit" aspectratio="f"/>
              </v:line>
            </w:pict>
          </mc:Fallback>
        </mc:AlternateContent>
      </w:r>
      <w:bookmarkStart w:id="3" w:name="_Toc3532206"/>
      <w:bookmarkStart w:id="4" w:name="_Toc232541274"/>
      <w:bookmarkStart w:id="5" w:name="_Toc18232450"/>
      <w:bookmarkStart w:id="6" w:name="_Toc18232263"/>
      <w:bookmarkStart w:id="7" w:name="_Toc3532452"/>
      <w:bookmarkStart w:id="8" w:name="_Toc3529065"/>
      <w:bookmarkStart w:id="9" w:name="_Toc18305840"/>
      <w:bookmarkStart w:id="10" w:name="_Toc3529237"/>
      <w:bookmarkStart w:id="11" w:name="_Toc18232187"/>
    </w:p>
    <w:bookmarkEnd w:id="3"/>
    <w:bookmarkEnd w:id="4"/>
    <w:bookmarkEnd w:id="5"/>
    <w:bookmarkEnd w:id="6"/>
    <w:bookmarkEnd w:id="7"/>
    <w:bookmarkEnd w:id="8"/>
    <w:bookmarkEnd w:id="9"/>
    <w:bookmarkEnd w:id="10"/>
    <w:bookmarkEnd w:id="11"/>
    <w:p>
      <w:pPr>
        <w:snapToGrid w:val="0"/>
        <w:rPr>
          <w:rFonts w:hint="default" w:asciiTheme="minorHAnsi" w:hAnsiTheme="minorHAnsi" w:eastAsiaTheme="minorEastAsia" w:cstheme="minorBidi"/>
          <w:szCs w:val="24"/>
          <w:highlight w:val="none"/>
          <w:shd w:val="clear"/>
          <w:lang w:val="en-US" w:eastAsia="zh-CN"/>
        </w:rPr>
      </w:pPr>
      <w:bookmarkStart w:id="12" w:name="_Hlt513196735"/>
      <w:bookmarkEnd w:id="12"/>
      <w:bookmarkStart w:id="13" w:name="_Toc299454575"/>
      <w:bookmarkEnd w:id="13"/>
      <w:bookmarkStart w:id="14" w:name="_Toc299455213"/>
      <w:bookmarkEnd w:id="14"/>
      <w:bookmarkStart w:id="15" w:name="_Toc299378797"/>
      <w:bookmarkEnd w:id="15"/>
      <w:bookmarkStart w:id="16" w:name="_Toc16704"/>
      <w:bookmarkStart w:id="17" w:name="_Toc31064"/>
      <w:bookmarkStart w:id="18" w:name="_Toc11010"/>
      <w:bookmarkStart w:id="19" w:name="_Toc14707"/>
      <w:bookmarkStart w:id="20" w:name="_Toc1085"/>
      <w:bookmarkStart w:id="21" w:name="_Toc27066"/>
      <w:bookmarkStart w:id="22" w:name="_Toc31402"/>
      <w:bookmarkStart w:id="23" w:name="_Toc12510"/>
      <w:bookmarkStart w:id="24" w:name="_Toc27013"/>
      <w:bookmarkStart w:id="25" w:name="_Toc3806"/>
      <w:bookmarkStart w:id="26" w:name="_Toc27642"/>
      <w:bookmarkStart w:id="27" w:name="_Toc25714"/>
      <w:bookmarkStart w:id="28" w:name="_Toc2761"/>
      <w:bookmarkStart w:id="29" w:name="_Toc2071"/>
      <w:bookmarkStart w:id="30" w:name="_Toc13169"/>
      <w:bookmarkStart w:id="31" w:name="_Toc17257"/>
      <w:bookmarkStart w:id="32" w:name="_Toc19017"/>
      <w:bookmarkStart w:id="33" w:name="_Toc20653"/>
      <w:bookmarkStart w:id="34" w:name="_Toc7590"/>
      <w:bookmarkStart w:id="35" w:name="_Toc5261"/>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snapToGrid w:val="0"/>
        <w:spacing w:line="360" w:lineRule="auto"/>
        <w:ind w:firstLine="420" w:firstLineChars="200"/>
        <w:rPr>
          <w:highlight w:val="none"/>
        </w:rPr>
      </w:pPr>
    </w:p>
    <w:p>
      <w:pPr>
        <w:numPr>
          <w:ilvl w:val="0"/>
          <w:numId w:val="0"/>
        </w:numPr>
        <w:spacing w:line="360" w:lineRule="auto"/>
        <w:ind w:leftChars="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eastAsia="zh-CN"/>
          <w14:textFill>
            <w14:solidFill>
              <w14:schemeClr w14:val="tx1"/>
            </w14:solidFill>
          </w14:textFill>
        </w:rPr>
        <w:t>第</w:t>
      </w:r>
      <w:r>
        <w:rPr>
          <w:rFonts w:hint="eastAsia" w:ascii="宋体" w:hAnsi="宋体" w:cs="宋体"/>
          <w:b/>
          <w:bCs/>
          <w:color w:val="000000" w:themeColor="text1"/>
          <w:sz w:val="30"/>
          <w:szCs w:val="30"/>
          <w:highlight w:val="none"/>
          <w:lang w:val="en-US" w:eastAsia="zh-CN"/>
          <w14:textFill>
            <w14:solidFill>
              <w14:schemeClr w14:val="tx1"/>
            </w14:solidFill>
          </w14:textFill>
        </w:rPr>
        <w:t>四</w:t>
      </w:r>
      <w:r>
        <w:rPr>
          <w:rFonts w:hint="eastAsia" w:ascii="宋体" w:hAnsi="宋体" w:cs="宋体"/>
          <w:b/>
          <w:bCs/>
          <w:color w:val="000000" w:themeColor="text1"/>
          <w:sz w:val="30"/>
          <w:szCs w:val="30"/>
          <w:highlight w:val="none"/>
          <w:lang w:eastAsia="zh-CN"/>
          <w14:textFill>
            <w14:solidFill>
              <w14:schemeClr w14:val="tx1"/>
            </w14:solidFill>
          </w14:textFill>
        </w:rPr>
        <w:t>章</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14:textFill>
            <w14:solidFill>
              <w14:schemeClr w14:val="tx1"/>
            </w14:solidFill>
          </w14:textFill>
        </w:rPr>
        <w:t>评审办法</w:t>
      </w:r>
    </w:p>
    <w:p>
      <w:pPr>
        <w:pStyle w:val="2"/>
        <w:numPr>
          <w:ilvl w:val="0"/>
          <w:numId w:val="0"/>
        </w:numPr>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 评审机构及成员</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1.1本项目成立评审小组。评审工作由评审小组负责。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评审小组共5人,由比选人的技术、经济专家组成</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监督人员</w:t>
      </w:r>
      <w:r>
        <w:rPr>
          <w:rFonts w:hint="eastAsia" w:ascii="宋体" w:hAnsi="宋体" w:cs="宋体"/>
          <w:color w:val="000000" w:themeColor="text1"/>
          <w:sz w:val="24"/>
          <w:highlight w:val="none"/>
          <w14:textFill>
            <w14:solidFill>
              <w14:schemeClr w14:val="tx1"/>
            </w14:solidFill>
          </w14:textFill>
        </w:rPr>
        <w:t>1人。</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  评审程序和内容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阅读比选书及有关资料。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对证明具备比选资格的原始文件的复印件（包括营业执照、</w:t>
      </w:r>
      <w:r>
        <w:rPr>
          <w:rFonts w:hint="eastAsia" w:ascii="宋体" w:hAnsi="宋体" w:cs="宋体"/>
          <w:color w:val="000000" w:themeColor="text1"/>
          <w:sz w:val="24"/>
          <w:highlight w:val="none"/>
          <w:lang w:val="en-US" w:eastAsia="zh-CN"/>
          <w14:textFill>
            <w14:solidFill>
              <w14:schemeClr w14:val="tx1"/>
            </w14:solidFill>
          </w14:textFill>
        </w:rPr>
        <w:t>资质证书、</w:t>
      </w:r>
      <w:r>
        <w:rPr>
          <w:rFonts w:hint="eastAsia" w:ascii="宋体" w:hAnsi="宋体" w:cs="宋体"/>
          <w:color w:val="000000" w:themeColor="text1"/>
          <w:sz w:val="24"/>
          <w:highlight w:val="none"/>
          <w14:textFill>
            <w14:solidFill>
              <w14:schemeClr w14:val="tx1"/>
            </w14:solidFill>
          </w14:textFill>
        </w:rPr>
        <w:t>银行资信证明等）、授权委托书等进行评估。</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比选申请人文件澄清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在必要时，为有助于比选申请人文件的审查、评价和比较，评审小组可以对比选申请人文件有疑问或不清楚的地方进行书面澄清，比选申请人接到评审小组书面澄清问题后，以书面形式将澄清回复传真给监审组，监审组再转交评审小组。比选申请人传真的澄清回复应有法定代表人或被授权代表人签字，澄清问题回复作为比选申请人文件的组成部分。</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综合评价与比较</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评审应依据评审原则、评审办法，对比选文件进行详细评审，合理评定打分，统计排序。</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编制评审报告</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评审小组完成评审后，应编写评审报告。</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  评审打分办法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在所有评委对每个比选申请人的每一单项评分中，取评委打分的算术平均值作为该比选申请人的单项得分；计分保留至小数点后两位，小数点后第三位四舍五入。</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技术评分细则（满分100分，权重0.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，见下附表1）</w:t>
      </w:r>
    </w:p>
    <w:p>
      <w:r>
        <w:rPr>
          <w:rFonts w:hint="eastAsia" w:ascii="宋体" w:hAnsi="宋体" w:cs="宋体"/>
          <w:bCs/>
          <w:color w:val="000000" w:themeColor="text1"/>
          <w:sz w:val="24"/>
          <w:highlight w:val="none"/>
          <w14:textFill>
            <w14:solidFill>
              <w14:schemeClr w14:val="tx1"/>
            </w14:solidFill>
          </w14:textFill>
        </w:rPr>
        <w:t>附表1 技术评分表</w:t>
      </w:r>
    </w:p>
    <w:p>
      <w:pPr>
        <w:rPr>
          <w:rFonts w:hint="eastAsia" w:ascii="宋体" w:hAnsi="宋体" w:cs="宋体"/>
          <w:b/>
          <w:color w:val="000000" w:themeColor="text1"/>
          <w:sz w:val="24"/>
          <w:highlight w:val="none"/>
          <w14:textFill>
            <w14:solidFill>
              <w14:schemeClr w14:val="tx1"/>
            </w14:solidFill>
          </w14:textFill>
        </w:rPr>
      </w:pPr>
    </w:p>
    <w:p>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技术评分表</w:t>
      </w:r>
    </w:p>
    <w:p>
      <w:pPr>
        <w:spacing w:line="360" w:lineRule="auto"/>
        <w:rPr>
          <w:rFonts w:hint="eastAsia" w:ascii="宋体" w:hAnsi="宋体" w:cs="宋体"/>
          <w:color w:val="000000" w:themeColor="text1"/>
          <w:sz w:val="24"/>
          <w:highlight w:val="none"/>
          <w14:textFill>
            <w14:solidFill>
              <w14:schemeClr w14:val="tx1"/>
            </w14:solidFill>
          </w14:textFill>
        </w:rPr>
      </w:pPr>
    </w:p>
    <w:tbl>
      <w:tblPr>
        <w:tblStyle w:val="2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203"/>
        <w:gridCol w:w="613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20"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03" w:type="dxa"/>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35" w:type="dxa"/>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评分依据</w:t>
            </w:r>
          </w:p>
        </w:tc>
        <w:tc>
          <w:tcPr>
            <w:tcW w:w="1001" w:type="dxa"/>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执业资质</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具有城乡规划编制资质乙级 </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val="en-US" w:eastAsia="zh-CN"/>
              </w:rPr>
              <w:t>分，具有城乡规划编制资质甲级 15分。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类似业绩</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类似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建设项目规划选址论证</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业绩</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201</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-202</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至少</w:t>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3个</w:t>
            </w:r>
            <w:r>
              <w:rPr>
                <w:rFonts w:hint="eastAsia" w:ascii="宋体" w:hAnsi="宋体" w:eastAsia="宋体" w:cs="宋体"/>
                <w:bCs/>
                <w:color w:val="auto"/>
                <w:sz w:val="24"/>
                <w:szCs w:val="24"/>
                <w:highlight w:val="none"/>
              </w:rPr>
              <w:t>类似项目</w:t>
            </w:r>
            <w:r>
              <w:rPr>
                <w:rFonts w:hint="eastAsia" w:ascii="宋体" w:hAnsi="宋体" w:eastAsia="宋体" w:cs="宋体"/>
                <w:bCs/>
                <w:color w:val="auto"/>
                <w:sz w:val="24"/>
                <w:szCs w:val="24"/>
                <w:highlight w:val="none"/>
                <w:lang w:val="en-US" w:eastAsia="zh-CN"/>
              </w:rPr>
              <w:t>业绩的，得9分；完成类似项目业绩超过3个的</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每增加</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个业绩</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w:t>
            </w:r>
            <w:r>
              <w:rPr>
                <w:rFonts w:hint="eastAsia" w:ascii="宋体" w:hAnsi="宋体" w:eastAsia="宋体" w:cs="宋体"/>
                <w:bCs/>
                <w:color w:val="auto"/>
                <w:sz w:val="24"/>
                <w:szCs w:val="24"/>
                <w:highlight w:val="none"/>
                <w:lang w:val="en-US" w:eastAsia="zh-CN"/>
              </w:rPr>
              <w:t>加6</w:t>
            </w:r>
            <w:r>
              <w:rPr>
                <w:rFonts w:hint="eastAsia" w:ascii="宋体" w:hAnsi="宋体" w:eastAsia="宋体" w:cs="宋体"/>
                <w:bCs/>
                <w:color w:val="auto"/>
                <w:sz w:val="24"/>
                <w:szCs w:val="24"/>
                <w:highlight w:val="none"/>
              </w:rPr>
              <w:t>分。</w:t>
            </w:r>
          </w:p>
          <w:p>
            <w:pPr>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业绩证明为合同复印件，</w:t>
            </w:r>
            <w:r>
              <w:rPr>
                <w:rFonts w:hint="eastAsia" w:ascii="宋体" w:hAnsi="宋体" w:eastAsia="宋体" w:cs="宋体"/>
                <w:bCs/>
                <w:color w:val="auto"/>
                <w:sz w:val="24"/>
                <w:szCs w:val="24"/>
                <w:highlight w:val="none"/>
              </w:rPr>
              <w:t>应包括封面、签字页及能显示项目名称和内容</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部分</w:t>
            </w:r>
            <w:r>
              <w:rPr>
                <w:rFonts w:hint="eastAsia" w:ascii="宋体" w:hAnsi="宋体" w:eastAsia="宋体" w:cs="宋体"/>
                <w:bCs/>
                <w:color w:val="auto"/>
                <w:sz w:val="24"/>
                <w:szCs w:val="24"/>
                <w:highlight w:val="none"/>
                <w:lang w:eastAsia="zh-CN"/>
              </w:rPr>
              <w:t>。</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拟投入本项目</w:t>
            </w:r>
            <w:r>
              <w:rPr>
                <w:rFonts w:hint="eastAsia" w:ascii="宋体" w:hAnsi="宋体" w:eastAsia="宋体" w:cs="宋体"/>
                <w:bCs/>
                <w:color w:val="auto"/>
                <w:sz w:val="24"/>
                <w:szCs w:val="24"/>
                <w:highlight w:val="none"/>
              </w:rPr>
              <w:t>人力资源配置</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1、项目负责人（</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项目负责人具有</w:t>
            </w:r>
            <w:r>
              <w:rPr>
                <w:rFonts w:hint="eastAsia" w:ascii="宋体" w:hAnsi="宋体" w:eastAsia="宋体" w:cs="宋体"/>
                <w:bCs/>
                <w:color w:val="auto"/>
                <w:sz w:val="24"/>
                <w:szCs w:val="24"/>
                <w:highlight w:val="none"/>
                <w:lang w:val="en-US" w:eastAsia="zh-CN"/>
              </w:rPr>
              <w:t>城乡规划相关专业高级职称的</w:t>
            </w:r>
            <w:r>
              <w:rPr>
                <w:rFonts w:hint="eastAsia" w:ascii="宋体" w:hAnsi="宋体" w:eastAsia="宋体" w:cs="宋体"/>
                <w:bCs/>
                <w:color w:val="auto"/>
                <w:sz w:val="24"/>
                <w:szCs w:val="24"/>
                <w:highlight w:val="none"/>
              </w:rPr>
              <w:t>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中级职称的得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分，其他</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p>
            <w:pPr>
              <w:numPr>
                <w:ilvl w:val="0"/>
                <w:numId w:val="0"/>
              </w:numPr>
              <w:spacing w:before="0" w:after="0" w:line="240" w:lineRule="auto"/>
              <w:ind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2、项目部管理机构配置（</w:t>
            </w:r>
            <w:r>
              <w:rPr>
                <w:rFonts w:hint="eastAsia" w:ascii="宋体" w:hAnsi="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项目管理人员配置不合理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项目管理人员配置基本合理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分）</w:t>
            </w:r>
          </w:p>
          <w:p>
            <w:pPr>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项目管理人员配置针对工程实际且合理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2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w:t>
            </w:r>
          </w:p>
        </w:tc>
        <w:tc>
          <w:tcPr>
            <w:tcW w:w="1203"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组织方案内容一般，符合国家相关规范、规定要求，措施针对性一般、可操作性一般。           （1-</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lang w:val="en-US" w:eastAsia="zh-CN"/>
              </w:rPr>
              <w:t>分）</w:t>
            </w:r>
          </w:p>
          <w:p>
            <w:p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组织方案内容较完整，符合国家相关规范、规定要求，措施针对性较强、可操作性较强。        （</w:t>
            </w:r>
            <w:r>
              <w:rPr>
                <w:rFonts w:hint="eastAsia" w:ascii="宋体" w:hAnsi="宋体" w:cs="宋体"/>
                <w:bCs/>
                <w:color w:val="auto"/>
                <w:sz w:val="24"/>
                <w:szCs w:val="24"/>
                <w:highlight w:val="none"/>
                <w:lang w:val="en-US" w:eastAsia="zh-CN"/>
              </w:rPr>
              <w:t>16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val="en-US" w:eastAsia="zh-CN"/>
              </w:rPr>
              <w:t>分）</w:t>
            </w:r>
          </w:p>
          <w:p>
            <w:p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组织方案内容完整，符合国家相关规范、规定要求，措施针对性强、可操作性强。              （</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en-US" w:eastAsia="zh-CN"/>
              </w:rPr>
              <w:t>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520"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5</w:t>
            </w:r>
          </w:p>
        </w:tc>
        <w:tc>
          <w:tcPr>
            <w:tcW w:w="1203"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服务和进度计划</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服务和进度计划基本满足项目实施要求，控制措施不完善。                                  （1-5分）</w:t>
            </w:r>
          </w:p>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服务和进度计划基本满足项目实施要求，有较为完善的控制措施。                            （6-10分）</w:t>
            </w:r>
          </w:p>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服务和进度计划满足项目实施要求，有完善的控制措施，操作性强。                        （11-15分）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520"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6</w:t>
            </w:r>
          </w:p>
        </w:tc>
        <w:tc>
          <w:tcPr>
            <w:tcW w:w="1203" w:type="dxa"/>
            <w:tcBorders>
              <w:left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投标书完整性及招标文件响应程度</w:t>
            </w:r>
          </w:p>
        </w:tc>
        <w:tc>
          <w:tcPr>
            <w:tcW w:w="613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投标书完整及招标文件响应程度较好（8-10分）</w:t>
            </w:r>
          </w:p>
          <w:p>
            <w:pPr>
              <w:numPr>
                <w:ilvl w:val="0"/>
                <w:numId w:val="0"/>
              </w:num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投标书完整性良好及招标文件响应程度好（5-7分）</w:t>
            </w:r>
          </w:p>
          <w:p>
            <w:pPr>
              <w:numPr>
                <w:ilvl w:val="0"/>
                <w:numId w:val="0"/>
              </w:numPr>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投标书完整性及招标文件响应程度一般、较差（0-4分）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858" w:type="dxa"/>
            <w:gridSpan w:val="3"/>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w:t>
            </w:r>
          </w:p>
        </w:tc>
      </w:tr>
    </w:tbl>
    <w:p>
      <w:pPr>
        <w:pStyle w:val="4"/>
        <w:rPr>
          <w:rFonts w:hint="eastAsia"/>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3.2报价评分（满分100分，权重0.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3.2.1确定评标价（以总价为评标标准）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评标价为经调整后的比选申请人比选报价。</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（1）若因税金不一致，则在评标时修正到同一个标准。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（2）评标价仅作为评审时将各比选申请人比选报价调整到同一水平，以便进行比较，中选后合同价仍然为比选申请人比选报价。</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报价得分</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比选申请人的最低评标价得分为100分。各比选申请人的评标价高于有效最低评标价，每高1%扣0.5分，扣完为止。计算分值时保留小数点后二位。</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报价得分＝100-[(评标价－有效最低评标价)/ 有效最低评标价×100]×0.5。</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综合评分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满分为100分，其中技术评分权重为0.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0；报价权重为0.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0。</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比选单位综合得分=技术得分×0.</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+报价得分×0.</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 xml:space="preserve">  综合排序的原则</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评审小组根据综合得分情况</w:t>
      </w:r>
      <w:r>
        <w:rPr>
          <w:rFonts w:hint="eastAsia" w:ascii="宋体" w:hAnsi="宋体" w:cs="宋体"/>
          <w:bCs/>
          <w:color w:val="000000" w:themeColor="text1"/>
          <w:sz w:val="24"/>
          <w:highlight w:val="none"/>
          <w14:textFill>
            <w14:solidFill>
              <w14:schemeClr w14:val="tx1"/>
            </w14:solidFill>
          </w14:textFill>
        </w:rPr>
        <w:t>按得分高低进行推荐排序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并推荐得分前二名的为第一、第二候选人。比选人与其中一名签订合同。</w:t>
      </w:r>
    </w:p>
    <w:p>
      <w:pPr>
        <w:numPr>
          <w:ilvl w:val="0"/>
          <w:numId w:val="0"/>
        </w:numPr>
        <w:spacing w:line="360" w:lineRule="auto"/>
        <w:jc w:val="center"/>
        <w:rPr>
          <w:rFonts w:hint="eastAsia" w:ascii="宋体" w:hAnsi="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第五章 技术部分</w:t>
      </w:r>
    </w:p>
    <w:p>
      <w:pPr>
        <w:spacing w:line="360" w:lineRule="auto"/>
        <w:ind w:firstLine="482" w:firstLineChars="200"/>
        <w:rPr>
          <w:rFonts w:hint="default"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详见技术规范书</w:t>
      </w:r>
    </w:p>
    <w:p>
      <w:pPr>
        <w:numPr>
          <w:ilvl w:val="-1"/>
          <w:numId w:val="0"/>
        </w:numPr>
        <w:spacing w:line="36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p>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hint="eastAsia" w:hAnsi="宋体" w:eastAsia="等线"/>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sz w:val="21"/>
      </w:rPr>
      <w:t>北京京能热电股份有限公司2－4炉燃烧器改造工程项目</w:t>
    </w:r>
    <w:r>
      <w:rPr>
        <w:rFonts w:hint="eastAsia"/>
        <w:sz w:val="21"/>
        <w:lang w:eastAsia="zh-CN"/>
      </w:rPr>
      <w:t>比选</w:t>
    </w:r>
    <w:r>
      <w:rPr>
        <w:rFonts w:hint="eastAsia"/>
        <w:sz w:val="21"/>
      </w:rPr>
      <w:t>文件</w:t>
    </w:r>
    <w:r>
      <w:rPr>
        <w:rFonts w:hint="eastAsia"/>
        <w:sz w:val="24"/>
      </w:rPr>
      <w:t xml:space="preserve">           第三卷技术部分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A81E6"/>
    <w:multiLevelType w:val="multilevel"/>
    <w:tmpl w:val="36CA81E6"/>
    <w:lvl w:ilvl="0" w:tentative="0">
      <w:start w:val="1"/>
      <w:numFmt w:val="decimal"/>
      <w:suff w:val="nothing"/>
      <w:lvlText w:val="%1."/>
      <w:lvlJc w:val="left"/>
      <w:pPr>
        <w:tabs>
          <w:tab w:val="left" w:pos="0"/>
        </w:tabs>
        <w:ind w:left="432" w:hanging="432"/>
      </w:pPr>
      <w:rPr>
        <w:rFonts w:hint="default"/>
      </w:rPr>
    </w:lvl>
    <w:lvl w:ilvl="1" w:tentative="0">
      <w:start w:val="1"/>
      <w:numFmt w:val="decimal"/>
      <w:suff w:val="nothing"/>
      <w:lvlText w:val="%1.%2."/>
      <w:lvlJc w:val="left"/>
      <w:pPr>
        <w:tabs>
          <w:tab w:val="left" w:pos="0"/>
        </w:tabs>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2Q2NTcyYzJkYjljM2VjOTg2NTIyYjhjMTA0NjkifQ=="/>
  </w:docVars>
  <w:rsids>
    <w:rsidRoot w:val="001F2B0A"/>
    <w:rsid w:val="001F2B0A"/>
    <w:rsid w:val="003C0C0E"/>
    <w:rsid w:val="004637C6"/>
    <w:rsid w:val="00497E22"/>
    <w:rsid w:val="00566232"/>
    <w:rsid w:val="00AD61B3"/>
    <w:rsid w:val="00D72DC5"/>
    <w:rsid w:val="00FB477A"/>
    <w:rsid w:val="014B1EB7"/>
    <w:rsid w:val="015D7E49"/>
    <w:rsid w:val="01F06157"/>
    <w:rsid w:val="01FF1B6C"/>
    <w:rsid w:val="022A4BD8"/>
    <w:rsid w:val="02C90F9C"/>
    <w:rsid w:val="02D91D75"/>
    <w:rsid w:val="02EA3616"/>
    <w:rsid w:val="033F75C8"/>
    <w:rsid w:val="03B516E9"/>
    <w:rsid w:val="041963BB"/>
    <w:rsid w:val="04635D80"/>
    <w:rsid w:val="04AB6121"/>
    <w:rsid w:val="04AB689E"/>
    <w:rsid w:val="0505449E"/>
    <w:rsid w:val="050B7141"/>
    <w:rsid w:val="06E415DA"/>
    <w:rsid w:val="07386071"/>
    <w:rsid w:val="0761059E"/>
    <w:rsid w:val="077A0069"/>
    <w:rsid w:val="081D051E"/>
    <w:rsid w:val="083779B4"/>
    <w:rsid w:val="095F30A0"/>
    <w:rsid w:val="0A3A1D48"/>
    <w:rsid w:val="0ADE1C05"/>
    <w:rsid w:val="0B1B5DB7"/>
    <w:rsid w:val="0B4242FC"/>
    <w:rsid w:val="0BF35C26"/>
    <w:rsid w:val="0C246BA4"/>
    <w:rsid w:val="0C4546C7"/>
    <w:rsid w:val="0C6F547D"/>
    <w:rsid w:val="0C953285"/>
    <w:rsid w:val="0CF47C3F"/>
    <w:rsid w:val="0D2D4871"/>
    <w:rsid w:val="0D8729DE"/>
    <w:rsid w:val="0DC15507"/>
    <w:rsid w:val="0F1A7AF2"/>
    <w:rsid w:val="0F380653"/>
    <w:rsid w:val="0F6C5013"/>
    <w:rsid w:val="109C14DF"/>
    <w:rsid w:val="10BE3DC9"/>
    <w:rsid w:val="116268AD"/>
    <w:rsid w:val="11CB1D14"/>
    <w:rsid w:val="120C234B"/>
    <w:rsid w:val="121635EA"/>
    <w:rsid w:val="12231A96"/>
    <w:rsid w:val="126A7388"/>
    <w:rsid w:val="12C16198"/>
    <w:rsid w:val="12CE23A9"/>
    <w:rsid w:val="130A0782"/>
    <w:rsid w:val="13170100"/>
    <w:rsid w:val="13C5156A"/>
    <w:rsid w:val="14253035"/>
    <w:rsid w:val="142F2164"/>
    <w:rsid w:val="1467219E"/>
    <w:rsid w:val="14AF76CB"/>
    <w:rsid w:val="15BB33F7"/>
    <w:rsid w:val="15F35FAB"/>
    <w:rsid w:val="16B2643E"/>
    <w:rsid w:val="16B80B59"/>
    <w:rsid w:val="16C94175"/>
    <w:rsid w:val="175D781D"/>
    <w:rsid w:val="180375AE"/>
    <w:rsid w:val="18870A0E"/>
    <w:rsid w:val="18B0174C"/>
    <w:rsid w:val="19137AFC"/>
    <w:rsid w:val="192B47CE"/>
    <w:rsid w:val="19570848"/>
    <w:rsid w:val="19BE081C"/>
    <w:rsid w:val="19C76B9B"/>
    <w:rsid w:val="1A561D65"/>
    <w:rsid w:val="1AC06D31"/>
    <w:rsid w:val="1AD725F9"/>
    <w:rsid w:val="1B5C49BB"/>
    <w:rsid w:val="1C0F2F48"/>
    <w:rsid w:val="1C72789B"/>
    <w:rsid w:val="1CC40A00"/>
    <w:rsid w:val="1D251111"/>
    <w:rsid w:val="1D83299A"/>
    <w:rsid w:val="1DA614B8"/>
    <w:rsid w:val="1E3F0843"/>
    <w:rsid w:val="1E44441B"/>
    <w:rsid w:val="1F724A69"/>
    <w:rsid w:val="1F7A5D97"/>
    <w:rsid w:val="203536E8"/>
    <w:rsid w:val="2088137E"/>
    <w:rsid w:val="20902DF0"/>
    <w:rsid w:val="20D6349C"/>
    <w:rsid w:val="20F0354E"/>
    <w:rsid w:val="212A5BF7"/>
    <w:rsid w:val="215154B4"/>
    <w:rsid w:val="220D77DF"/>
    <w:rsid w:val="221E6FE9"/>
    <w:rsid w:val="22282915"/>
    <w:rsid w:val="229022CB"/>
    <w:rsid w:val="22D05E3C"/>
    <w:rsid w:val="238605F7"/>
    <w:rsid w:val="23B56D6C"/>
    <w:rsid w:val="23BA7E6F"/>
    <w:rsid w:val="242155A2"/>
    <w:rsid w:val="247E0A7C"/>
    <w:rsid w:val="24867F65"/>
    <w:rsid w:val="251875F3"/>
    <w:rsid w:val="2543664F"/>
    <w:rsid w:val="2553005E"/>
    <w:rsid w:val="25E71058"/>
    <w:rsid w:val="26423376"/>
    <w:rsid w:val="284C223F"/>
    <w:rsid w:val="28927BAA"/>
    <w:rsid w:val="28A47815"/>
    <w:rsid w:val="29894653"/>
    <w:rsid w:val="2A027529"/>
    <w:rsid w:val="2A155E1E"/>
    <w:rsid w:val="2AE3617E"/>
    <w:rsid w:val="2B0D0850"/>
    <w:rsid w:val="2B8562AF"/>
    <w:rsid w:val="2BF10728"/>
    <w:rsid w:val="2C8632D7"/>
    <w:rsid w:val="2CC342FD"/>
    <w:rsid w:val="2D2C4B5F"/>
    <w:rsid w:val="2D690265"/>
    <w:rsid w:val="2EFC3072"/>
    <w:rsid w:val="2F0D6671"/>
    <w:rsid w:val="2F9B0424"/>
    <w:rsid w:val="30DE02F2"/>
    <w:rsid w:val="314D0E82"/>
    <w:rsid w:val="319566E7"/>
    <w:rsid w:val="32C77C56"/>
    <w:rsid w:val="33C17F75"/>
    <w:rsid w:val="341E7DDB"/>
    <w:rsid w:val="343F655E"/>
    <w:rsid w:val="34887DF7"/>
    <w:rsid w:val="353A6336"/>
    <w:rsid w:val="354253EA"/>
    <w:rsid w:val="35681B1F"/>
    <w:rsid w:val="36111E42"/>
    <w:rsid w:val="36432BB5"/>
    <w:rsid w:val="36CC48AD"/>
    <w:rsid w:val="37C13DA0"/>
    <w:rsid w:val="39027F13"/>
    <w:rsid w:val="390C1966"/>
    <w:rsid w:val="39435DFC"/>
    <w:rsid w:val="399F3ADA"/>
    <w:rsid w:val="39FD20B6"/>
    <w:rsid w:val="3A23519F"/>
    <w:rsid w:val="3A3C318D"/>
    <w:rsid w:val="3A436EF3"/>
    <w:rsid w:val="3A545BA4"/>
    <w:rsid w:val="3AD96731"/>
    <w:rsid w:val="3B4F356C"/>
    <w:rsid w:val="3B983454"/>
    <w:rsid w:val="3BAF0A7B"/>
    <w:rsid w:val="3C3561CE"/>
    <w:rsid w:val="3D6F5C89"/>
    <w:rsid w:val="3E0B5F15"/>
    <w:rsid w:val="3E3651F2"/>
    <w:rsid w:val="3EB811B3"/>
    <w:rsid w:val="3EBF2718"/>
    <w:rsid w:val="3EC95F9F"/>
    <w:rsid w:val="3EFB134D"/>
    <w:rsid w:val="3F1F0CCB"/>
    <w:rsid w:val="3F344FBF"/>
    <w:rsid w:val="400E5068"/>
    <w:rsid w:val="40D46705"/>
    <w:rsid w:val="41172EE4"/>
    <w:rsid w:val="4271604A"/>
    <w:rsid w:val="42D56E71"/>
    <w:rsid w:val="42FB3958"/>
    <w:rsid w:val="431945BC"/>
    <w:rsid w:val="431B6ADF"/>
    <w:rsid w:val="43543D49"/>
    <w:rsid w:val="444728A5"/>
    <w:rsid w:val="44BD7B66"/>
    <w:rsid w:val="44C862DD"/>
    <w:rsid w:val="45BB4787"/>
    <w:rsid w:val="45F40E36"/>
    <w:rsid w:val="47197328"/>
    <w:rsid w:val="47504CD6"/>
    <w:rsid w:val="475C02CA"/>
    <w:rsid w:val="476A487A"/>
    <w:rsid w:val="47D0101C"/>
    <w:rsid w:val="48476601"/>
    <w:rsid w:val="485E4116"/>
    <w:rsid w:val="48686309"/>
    <w:rsid w:val="488B3C34"/>
    <w:rsid w:val="48AE5045"/>
    <w:rsid w:val="48E53BB1"/>
    <w:rsid w:val="49507E2D"/>
    <w:rsid w:val="49DC62C7"/>
    <w:rsid w:val="49E55E44"/>
    <w:rsid w:val="4A6F78BD"/>
    <w:rsid w:val="4BE34F89"/>
    <w:rsid w:val="4C067D9B"/>
    <w:rsid w:val="4C7260A7"/>
    <w:rsid w:val="4D8E112D"/>
    <w:rsid w:val="4E0572B3"/>
    <w:rsid w:val="4E6303CE"/>
    <w:rsid w:val="4EB55783"/>
    <w:rsid w:val="4ECC6F0A"/>
    <w:rsid w:val="4F0F0EDE"/>
    <w:rsid w:val="4F0F537E"/>
    <w:rsid w:val="50D01E65"/>
    <w:rsid w:val="50E03FEB"/>
    <w:rsid w:val="516A6EFC"/>
    <w:rsid w:val="51C60175"/>
    <w:rsid w:val="529D0A4B"/>
    <w:rsid w:val="5415574F"/>
    <w:rsid w:val="5421245A"/>
    <w:rsid w:val="545676C7"/>
    <w:rsid w:val="550F0DC7"/>
    <w:rsid w:val="55C816BC"/>
    <w:rsid w:val="55FB64F0"/>
    <w:rsid w:val="565D24B7"/>
    <w:rsid w:val="568455BA"/>
    <w:rsid w:val="56D1092C"/>
    <w:rsid w:val="56F365F2"/>
    <w:rsid w:val="57DB0AC1"/>
    <w:rsid w:val="584B4EDB"/>
    <w:rsid w:val="5876106B"/>
    <w:rsid w:val="58CF584D"/>
    <w:rsid w:val="58F87C9B"/>
    <w:rsid w:val="590901C7"/>
    <w:rsid w:val="59224035"/>
    <w:rsid w:val="594A6722"/>
    <w:rsid w:val="5A7D6262"/>
    <w:rsid w:val="5AD06F94"/>
    <w:rsid w:val="5AFE6139"/>
    <w:rsid w:val="5B092532"/>
    <w:rsid w:val="5B9709D6"/>
    <w:rsid w:val="5C1B1CCB"/>
    <w:rsid w:val="5C1B1DC2"/>
    <w:rsid w:val="5C2D4BA0"/>
    <w:rsid w:val="5D105E2E"/>
    <w:rsid w:val="5D2A4E02"/>
    <w:rsid w:val="5DB62526"/>
    <w:rsid w:val="5E377183"/>
    <w:rsid w:val="5E3D73F3"/>
    <w:rsid w:val="5EA02456"/>
    <w:rsid w:val="5FE75EF7"/>
    <w:rsid w:val="5FE944CE"/>
    <w:rsid w:val="60511079"/>
    <w:rsid w:val="607B055F"/>
    <w:rsid w:val="60C16A9C"/>
    <w:rsid w:val="61FA48B8"/>
    <w:rsid w:val="620B468C"/>
    <w:rsid w:val="627548C7"/>
    <w:rsid w:val="62B712F8"/>
    <w:rsid w:val="62D15553"/>
    <w:rsid w:val="63427B3A"/>
    <w:rsid w:val="635B2563"/>
    <w:rsid w:val="64015676"/>
    <w:rsid w:val="64316E7B"/>
    <w:rsid w:val="648A157E"/>
    <w:rsid w:val="64931A11"/>
    <w:rsid w:val="64E73FFF"/>
    <w:rsid w:val="64F93037"/>
    <w:rsid w:val="658D1BE1"/>
    <w:rsid w:val="66F6657C"/>
    <w:rsid w:val="67084D16"/>
    <w:rsid w:val="6710392B"/>
    <w:rsid w:val="67502979"/>
    <w:rsid w:val="67FF38C9"/>
    <w:rsid w:val="681F299B"/>
    <w:rsid w:val="68A32539"/>
    <w:rsid w:val="68F32616"/>
    <w:rsid w:val="69591C34"/>
    <w:rsid w:val="69644B76"/>
    <w:rsid w:val="69860079"/>
    <w:rsid w:val="69DF37C5"/>
    <w:rsid w:val="69FD38F9"/>
    <w:rsid w:val="6A0B653E"/>
    <w:rsid w:val="6A252B92"/>
    <w:rsid w:val="6C154D81"/>
    <w:rsid w:val="6C6F10F7"/>
    <w:rsid w:val="6D7C78B7"/>
    <w:rsid w:val="6D7F36B1"/>
    <w:rsid w:val="6E6E5930"/>
    <w:rsid w:val="6EAC7ED8"/>
    <w:rsid w:val="6F40049E"/>
    <w:rsid w:val="6FA87362"/>
    <w:rsid w:val="6FE37D5D"/>
    <w:rsid w:val="6FE70627"/>
    <w:rsid w:val="70927102"/>
    <w:rsid w:val="70DD2FF7"/>
    <w:rsid w:val="70F95FBD"/>
    <w:rsid w:val="71121C24"/>
    <w:rsid w:val="71B92CFB"/>
    <w:rsid w:val="71DA05A0"/>
    <w:rsid w:val="725515F5"/>
    <w:rsid w:val="73926496"/>
    <w:rsid w:val="747A16BF"/>
    <w:rsid w:val="7519039B"/>
    <w:rsid w:val="758E35BD"/>
    <w:rsid w:val="769A58E3"/>
    <w:rsid w:val="7795672F"/>
    <w:rsid w:val="77A33237"/>
    <w:rsid w:val="780E04D4"/>
    <w:rsid w:val="78304EDE"/>
    <w:rsid w:val="788318F6"/>
    <w:rsid w:val="78D323C4"/>
    <w:rsid w:val="78FE5584"/>
    <w:rsid w:val="7A23637B"/>
    <w:rsid w:val="7A6164AB"/>
    <w:rsid w:val="7B391059"/>
    <w:rsid w:val="7B530539"/>
    <w:rsid w:val="7B574B36"/>
    <w:rsid w:val="7BA9375B"/>
    <w:rsid w:val="7BD948AD"/>
    <w:rsid w:val="7BEA3E4C"/>
    <w:rsid w:val="7C836F93"/>
    <w:rsid w:val="7DDE038D"/>
    <w:rsid w:val="7E044AA8"/>
    <w:rsid w:val="7E0809CA"/>
    <w:rsid w:val="7F9D2EA8"/>
    <w:rsid w:val="7FA4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val="0"/>
      <w:numPr>
        <w:ilvl w:val="2"/>
        <w:numId w:val="1"/>
      </w:numPr>
      <w:tabs>
        <w:tab w:val="left" w:pos="680"/>
        <w:tab w:val="left" w:pos="907"/>
        <w:tab w:val="left" w:pos="1134"/>
        <w:tab w:val="left" w:pos="1361"/>
        <w:tab w:val="right" w:pos="6804"/>
        <w:tab w:val="left" w:pos="7088"/>
      </w:tabs>
      <w:adjustRightInd w:val="0"/>
      <w:spacing w:before="120" w:line="360" w:lineRule="atLeast"/>
      <w:ind w:left="720" w:hanging="720"/>
      <w:jc w:val="left"/>
      <w:textAlignment w:val="baseline"/>
      <w:outlineLvl w:val="2"/>
    </w:pPr>
    <w:rPr>
      <w:rFonts w:ascii="Arial" w:hAnsi="Arial" w:eastAsia="宋体" w:cs="Times New Roman"/>
      <w:b/>
      <w:kern w:val="0"/>
      <w:sz w:val="24"/>
      <w:szCs w:val="20"/>
      <w:lang w:val="en-US" w:eastAsia="zh-CN" w:bidi="ar-SA"/>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Cs w:val="21"/>
    </w:r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spacing w:line="360" w:lineRule="auto"/>
      <w:ind w:firstLine="420"/>
    </w:pPr>
    <w:rPr>
      <w:rFonts w:ascii="宋体"/>
      <w:sz w:val="24"/>
      <w:szCs w:val="20"/>
    </w:rPr>
  </w:style>
  <w:style w:type="paragraph" w:styleId="9">
    <w:name w:val="annotation text"/>
    <w:basedOn w:val="1"/>
    <w:semiHidden/>
    <w:qFormat/>
    <w:uiPriority w:val="0"/>
    <w:pPr>
      <w:spacing w:line="360" w:lineRule="auto"/>
      <w:ind w:left="851"/>
      <w:jc w:val="left"/>
    </w:pPr>
    <w:rPr>
      <w:sz w:val="24"/>
      <w:szCs w:val="20"/>
    </w:rPr>
  </w:style>
  <w:style w:type="paragraph" w:styleId="10">
    <w:name w:val="Body Text Indent"/>
    <w:basedOn w:val="1"/>
    <w:qFormat/>
    <w:uiPriority w:val="0"/>
    <w:pPr>
      <w:adjustRightInd w:val="0"/>
      <w:spacing w:before="240" w:beforeLines="0" w:beforeAutospacing="0" w:line="360" w:lineRule="auto"/>
      <w:ind w:firstLine="578"/>
      <w:textAlignment w:val="baseline"/>
    </w:pPr>
    <w:rPr>
      <w:rFonts w:hAnsi="Century Gothic"/>
    </w:rPr>
  </w:style>
  <w:style w:type="paragraph" w:styleId="11">
    <w:name w:val="Block Text"/>
    <w:basedOn w:val="1"/>
    <w:qFormat/>
    <w:uiPriority w:val="0"/>
    <w:pPr>
      <w:spacing w:before="120" w:after="120" w:line="360" w:lineRule="auto"/>
      <w:ind w:left="630" w:right="202"/>
    </w:pPr>
    <w:rPr>
      <w:rFonts w:ascii="宋体"/>
      <w:sz w:val="24"/>
      <w:szCs w:val="20"/>
    </w:rPr>
  </w:style>
  <w:style w:type="paragraph" w:styleId="12">
    <w:name w:val="Plain Text"/>
    <w:basedOn w:val="1"/>
    <w:qFormat/>
    <w:uiPriority w:val="0"/>
    <w:rPr>
      <w:rFonts w:ascii="Courier New" w:hAnsi="Courier New"/>
      <w:szCs w:val="20"/>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next w:val="20"/>
    <w:qFormat/>
    <w:uiPriority w:val="99"/>
    <w:pPr>
      <w:ind w:firstLine="420" w:firstLineChars="100"/>
    </w:pPr>
    <w:rPr>
      <w:rFonts w:ascii="Times New Roman" w:hAnsi="Times New Roman" w:cs="Times New Roman"/>
      <w:szCs w:val="20"/>
    </w:rPr>
  </w:style>
  <w:style w:type="paragraph" w:customStyle="1" w:styleId="20">
    <w:name w:val="段落正文"/>
    <w:basedOn w:val="1"/>
    <w:qFormat/>
    <w:uiPriority w:val="0"/>
    <w:pPr>
      <w:spacing w:line="360" w:lineRule="auto"/>
      <w:ind w:firstLine="480" w:firstLineChars="200"/>
    </w:pPr>
    <w:rPr>
      <w:rFonts w:ascii="微软雅黑" w:hAnsi="微软雅黑"/>
      <w:kern w:val="0"/>
      <w:sz w:val="24"/>
      <w:szCs w:val="20"/>
    </w:rPr>
  </w:style>
  <w:style w:type="paragraph" w:styleId="21">
    <w:name w:val="Body Text First Indent 2"/>
    <w:basedOn w:val="10"/>
    <w:next w:val="7"/>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paragraph" w:customStyle="1" w:styleId="26">
    <w:name w:val="_Style 3"/>
    <w:basedOn w:val="1"/>
    <w:next w:val="1"/>
    <w:qFormat/>
    <w:uiPriority w:val="99"/>
    <w:pPr>
      <w:spacing w:line="360" w:lineRule="auto"/>
      <w:ind w:firstLine="420" w:firstLineChars="200"/>
    </w:pPr>
    <w:rPr>
      <w:sz w:val="24"/>
      <w:szCs w:val="24"/>
    </w:rPr>
  </w:style>
  <w:style w:type="paragraph" w:customStyle="1" w:styleId="27">
    <w:name w:val="样式2"/>
    <w:basedOn w:val="1"/>
    <w:qFormat/>
    <w:uiPriority w:val="0"/>
    <w:pPr>
      <w:adjustRightInd w:val="0"/>
      <w:spacing w:line="410" w:lineRule="atLeast"/>
      <w:jc w:val="left"/>
    </w:pPr>
    <w:rPr>
      <w:kern w:val="0"/>
      <w:sz w:val="24"/>
      <w:szCs w:val="20"/>
    </w:rPr>
  </w:style>
  <w:style w:type="paragraph" w:customStyle="1" w:styleId="28">
    <w:name w:val="样式1"/>
    <w:basedOn w:val="1"/>
    <w:qFormat/>
    <w:uiPriority w:val="0"/>
    <w:pPr>
      <w:adjustRightInd w:val="0"/>
      <w:spacing w:line="420" w:lineRule="auto"/>
      <w:jc w:val="center"/>
    </w:pPr>
    <w:rPr>
      <w:rFonts w:ascii="宋体"/>
      <w:kern w:val="0"/>
      <w:sz w:val="24"/>
      <w:szCs w:val="20"/>
    </w:rPr>
  </w:style>
  <w:style w:type="paragraph" w:customStyle="1" w:styleId="29">
    <w:name w:val="正文2"/>
    <w:basedOn w:val="1"/>
    <w:next w:val="1"/>
    <w:qFormat/>
    <w:uiPriority w:val="0"/>
  </w:style>
  <w:style w:type="paragraph" w:customStyle="1" w:styleId="30">
    <w:name w:val="Plain Text"/>
    <w:qFormat/>
    <w:uiPriority w:val="0"/>
    <w:pPr>
      <w:widowControl w:val="0"/>
      <w:jc w:val="both"/>
    </w:pPr>
    <w:rPr>
      <w:rFonts w:ascii="宋体" w:hAnsi="Courier New" w:eastAsia="宋体" w:cs="Times New Roman"/>
      <w:kern w:val="2"/>
      <w:sz w:val="21"/>
      <w:lang w:val="en-US" w:eastAsia="zh-CN" w:bidi="ar-SA"/>
    </w:rPr>
  </w:style>
  <w:style w:type="paragraph" w:customStyle="1" w:styleId="31">
    <w:name w:val="正文+缩进2字符"/>
    <w:basedOn w:val="1"/>
    <w:qFormat/>
    <w:uiPriority w:val="0"/>
    <w:pPr>
      <w:spacing w:line="360" w:lineRule="auto"/>
      <w:ind w:firstLine="200" w:firstLineChars="200"/>
    </w:pPr>
    <w:rPr>
      <w:kern w:val="0"/>
      <w:sz w:val="28"/>
    </w:rPr>
  </w:style>
  <w:style w:type="paragraph" w:customStyle="1" w:styleId="32">
    <w:name w:val="表内左两列正文"/>
    <w:basedOn w:val="33"/>
    <w:qFormat/>
    <w:uiPriority w:val="0"/>
    <w:pPr>
      <w:spacing w:line="320" w:lineRule="exact"/>
      <w:jc w:val="center"/>
    </w:pPr>
    <w:rPr>
      <w:w w:val="99"/>
    </w:rPr>
  </w:style>
  <w:style w:type="paragraph" w:customStyle="1" w:styleId="33">
    <w:name w:val="表内正文"/>
    <w:basedOn w:val="1"/>
    <w:qFormat/>
    <w:uiPriority w:val="0"/>
    <w:pPr>
      <w:widowControl/>
      <w:spacing w:line="320" w:lineRule="atLeast"/>
      <w:jc w:val="left"/>
    </w:pPr>
    <w:rPr>
      <w:rFonts w:ascii="宋体" w:hAnsi="宋体" w:eastAsia="宋体" w:cs="Times New Roman"/>
      <w:spacing w:val="2"/>
      <w:kern w:val="0"/>
      <w:szCs w:val="21"/>
      <w:lang w:eastAsia="en-US" w:bidi="en-US"/>
    </w:rPr>
  </w:style>
  <w:style w:type="paragraph" w:customStyle="1" w:styleId="34">
    <w:name w:val="Normal_0"/>
    <w:qFormat/>
    <w:uiPriority w:val="1"/>
    <w:rPr>
      <w:rFonts w:ascii="Arial" w:hAnsi="Arial" w:eastAsia="微软雅黑" w:cs="Times New Roman"/>
      <w:kern w:val="0"/>
      <w:sz w:val="20"/>
      <w:szCs w:val="20"/>
      <w:lang w:val="en-US" w:eastAsia="en-US" w:bidi="ar-SA"/>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customStyle="1" w:styleId="36">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13293</Words>
  <Characters>14545</Characters>
  <Lines>14</Lines>
  <Paragraphs>13</Paragraphs>
  <TotalTime>0</TotalTime>
  <ScaleCrop>false</ScaleCrop>
  <LinksUpToDate>false</LinksUpToDate>
  <CharactersWithSpaces>15466</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2022-03-08T15:11:00Z</dcterms:created>
  <dc:creator>Administrator</dc:creator>
  <cp:lastModifiedBy>彭宏</cp:lastModifiedBy>
  <dcterms:modified xsi:type="dcterms:W3CDTF">2024-08-01T07:50:36Z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0A8171E71BE14CCD91A7043A62EC7D63</vt:lpwstr>
  </property>
</Properties>
</file>