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36" w:beforeLines="300" w:line="360" w:lineRule="auto"/>
        <w:jc w:val="center"/>
        <w:rPr>
          <w:rFonts w:ascii="宋体" w:hAnsi="宋体" w:cs="宋体"/>
          <w:b/>
          <w:bCs/>
          <w:color w:val="000000" w:themeColor="text1"/>
          <w:sz w:val="44"/>
          <w:szCs w:val="22"/>
          <w:highlight w:val="none"/>
          <w14:textFill>
            <w14:solidFill>
              <w14:schemeClr w14:val="tx1"/>
            </w14:solidFill>
          </w14:textFill>
        </w:rPr>
      </w:pPr>
    </w:p>
    <w:p>
      <w:pPr>
        <w:pStyle w:val="2"/>
        <w:rPr>
          <w:rFonts w:ascii="宋体" w:hAnsi="宋体" w:cs="宋体"/>
          <w:b/>
          <w:bCs/>
          <w:color w:val="000000" w:themeColor="text1"/>
          <w:sz w:val="44"/>
          <w:szCs w:val="22"/>
          <w:highlight w:val="none"/>
          <w14:textFill>
            <w14:solidFill>
              <w14:schemeClr w14:val="tx1"/>
            </w14:solidFill>
          </w14:textFill>
        </w:rPr>
      </w:pPr>
    </w:p>
    <w:p>
      <w:pPr>
        <w:pStyle w:val="2"/>
        <w:rPr>
          <w:rFonts w:ascii="宋体" w:hAnsi="宋体" w:cs="宋体"/>
          <w:b/>
          <w:bCs/>
          <w:color w:val="000000" w:themeColor="text1"/>
          <w:sz w:val="44"/>
          <w:szCs w:val="22"/>
          <w:highlight w:val="none"/>
          <w14:textFill>
            <w14:solidFill>
              <w14:schemeClr w14:val="tx1"/>
            </w14:solidFill>
          </w14:textFill>
        </w:rPr>
      </w:pPr>
    </w:p>
    <w:p>
      <w:pPr>
        <w:pStyle w:val="2"/>
        <w:rPr>
          <w:rFonts w:ascii="宋体" w:hAnsi="宋体" w:cs="宋体"/>
          <w:b/>
          <w:bCs/>
          <w:color w:val="000000" w:themeColor="text1"/>
          <w:sz w:val="44"/>
          <w:szCs w:val="22"/>
          <w:highlight w:val="none"/>
          <w14:textFill>
            <w14:solidFill>
              <w14:schemeClr w14:val="tx1"/>
            </w14:solidFill>
          </w14:textFill>
        </w:rPr>
      </w:pPr>
    </w:p>
    <w:p>
      <w:pPr>
        <w:pStyle w:val="2"/>
        <w:rPr>
          <w:rFonts w:ascii="宋体" w:hAnsi="宋体" w:cs="宋体"/>
          <w:b/>
          <w:bCs/>
          <w:color w:val="000000" w:themeColor="text1"/>
          <w:sz w:val="44"/>
          <w:szCs w:val="24"/>
          <w:highlight w:val="none"/>
          <w14:textFill>
            <w14:solidFill>
              <w14:schemeClr w14:val="tx1"/>
            </w14:solidFill>
          </w14:textFill>
        </w:rPr>
      </w:pPr>
    </w:p>
    <w:p>
      <w:pPr>
        <w:spacing w:before="936" w:beforeLines="300" w:line="360" w:lineRule="auto"/>
        <w:jc w:val="center"/>
        <w:rPr>
          <w:rFonts w:hint="eastAsia"/>
          <w:b/>
          <w:color w:val="000000"/>
          <w:sz w:val="44"/>
          <w:szCs w:val="44"/>
          <w:lang w:val="en-US" w:eastAsia="zh-CN"/>
        </w:rPr>
      </w:pPr>
      <w:r>
        <w:rPr>
          <w:rFonts w:hint="eastAsia"/>
          <w:b/>
          <w:color w:val="000000"/>
          <w:sz w:val="44"/>
          <w:szCs w:val="44"/>
          <w:lang w:val="en-US" w:eastAsia="zh-CN"/>
        </w:rPr>
        <w:t>川投泸州天然气发电项目</w:t>
      </w:r>
    </w:p>
    <w:p>
      <w:pPr>
        <w:spacing w:before="936" w:beforeLines="300" w:line="360" w:lineRule="auto"/>
        <w:jc w:val="center"/>
        <w:rPr>
          <w:rFonts w:hint="eastAsia" w:ascii="宋体" w:hAnsi="宋体" w:cs="宋体"/>
          <w:b/>
          <w:bCs/>
          <w:color w:val="000000" w:themeColor="text1"/>
          <w:sz w:val="44"/>
          <w:highlight w:val="none"/>
          <w:lang w:val="en-US" w:eastAsia="zh-CN"/>
          <w14:textFill>
            <w14:solidFill>
              <w14:schemeClr w14:val="tx1"/>
            </w14:solidFill>
          </w14:textFill>
        </w:rPr>
      </w:pPr>
      <w:r>
        <w:rPr>
          <w:rFonts w:hint="eastAsia" w:ascii="宋体" w:hAnsi="宋体" w:cs="宋体"/>
          <w:b/>
          <w:bCs/>
          <w:color w:val="000000" w:themeColor="text1"/>
          <w:sz w:val="44"/>
          <w:highlight w:val="none"/>
          <w:lang w:val="en-US" w:eastAsia="zh-CN"/>
          <w14:textFill>
            <w14:solidFill>
              <w14:schemeClr w14:val="tx1"/>
            </w14:solidFill>
          </w14:textFill>
        </w:rPr>
        <w:t>天然气管线工程行洪论证与河势稳定评价服务</w:t>
      </w:r>
    </w:p>
    <w:p>
      <w:pPr>
        <w:spacing w:before="936" w:beforeLines="300" w:line="360" w:lineRule="auto"/>
        <w:jc w:val="center"/>
        <w:rPr>
          <w:rFonts w:ascii="宋体" w:hAnsi="宋体" w:cs="宋体"/>
          <w:b/>
          <w:bCs/>
          <w:color w:val="000000" w:themeColor="text1"/>
          <w:sz w:val="44"/>
          <w:szCs w:val="22"/>
          <w:highlight w:val="none"/>
          <w14:textFill>
            <w14:solidFill>
              <w14:schemeClr w14:val="tx1"/>
            </w14:solidFill>
          </w14:textFill>
        </w:rPr>
      </w:pPr>
      <w:r>
        <w:rPr>
          <w:rFonts w:hint="eastAsia" w:ascii="宋体" w:hAnsi="宋体" w:cs="宋体"/>
          <w:b/>
          <w:bCs/>
          <w:color w:val="000000" w:themeColor="text1"/>
          <w:sz w:val="44"/>
          <w:szCs w:val="22"/>
          <w:highlight w:val="none"/>
          <w14:textFill>
            <w14:solidFill>
              <w14:schemeClr w14:val="tx1"/>
            </w14:solidFill>
          </w14:textFill>
        </w:rPr>
        <w:t>比选文件</w:t>
      </w:r>
    </w:p>
    <w:p>
      <w:pPr>
        <w:spacing w:before="936" w:beforeLines="300" w:line="360" w:lineRule="auto"/>
        <w:jc w:val="both"/>
        <w:rPr>
          <w:rFonts w:ascii="宋体" w:hAnsi="宋体" w:cs="宋体"/>
          <w:b/>
          <w:bCs/>
          <w:color w:val="000000" w:themeColor="text1"/>
          <w:sz w:val="44"/>
          <w:szCs w:val="22"/>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pStyle w:val="2"/>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pStyle w:val="2"/>
        <w:rPr>
          <w:rFonts w:ascii="宋体" w:hAnsi="宋体" w:cs="宋体"/>
          <w:color w:val="000000" w:themeColor="text1"/>
          <w:highlight w:val="none"/>
          <w14:textFill>
            <w14:solidFill>
              <w14:schemeClr w14:val="tx1"/>
            </w14:solidFill>
          </w14:textFill>
        </w:rPr>
      </w:pPr>
    </w:p>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lang w:val="en-US" w:eastAsia="zh-CN"/>
          <w14:textFill>
            <w14:solidFill>
              <w14:schemeClr w14:val="tx1"/>
            </w14:solidFill>
          </w14:textFill>
        </w:rPr>
        <w:t>2024</w:t>
      </w:r>
      <w:r>
        <w:rPr>
          <w:rFonts w:hint="eastAsia" w:ascii="宋体" w:hAnsi="宋体" w:cs="宋体"/>
          <w:b/>
          <w:color w:val="000000" w:themeColor="text1"/>
          <w:sz w:val="32"/>
          <w:szCs w:val="32"/>
          <w:highlight w:val="none"/>
          <w14:textFill>
            <w14:solidFill>
              <w14:schemeClr w14:val="tx1"/>
            </w14:solidFill>
          </w14:textFill>
        </w:rPr>
        <w:t>年</w:t>
      </w:r>
      <w:r>
        <w:rPr>
          <w:rFonts w:hint="eastAsia" w:ascii="宋体" w:hAnsi="宋体" w:cs="宋体"/>
          <w:b/>
          <w:color w:val="000000" w:themeColor="text1"/>
          <w:sz w:val="32"/>
          <w:szCs w:val="32"/>
          <w:highlight w:val="none"/>
          <w:lang w:val="en-US" w:eastAsia="zh-CN"/>
          <w14:textFill>
            <w14:solidFill>
              <w14:schemeClr w14:val="tx1"/>
            </w14:solidFill>
          </w14:textFill>
        </w:rPr>
        <w:t>10</w:t>
      </w:r>
      <w:r>
        <w:rPr>
          <w:rFonts w:hint="eastAsia" w:ascii="宋体" w:hAnsi="宋体" w:cs="宋体"/>
          <w:b/>
          <w:color w:val="000000" w:themeColor="text1"/>
          <w:sz w:val="32"/>
          <w:szCs w:val="32"/>
          <w:highlight w:val="none"/>
          <w14:textFill>
            <w14:solidFill>
              <w14:schemeClr w14:val="tx1"/>
            </w14:solidFill>
          </w14:textFill>
        </w:rPr>
        <w:t>月</w:t>
      </w:r>
    </w:p>
    <w:p>
      <w:pPr>
        <w:pStyle w:val="3"/>
        <w:keepLines w:val="0"/>
        <w:tabs>
          <w:tab w:val="left" w:pos="720"/>
        </w:tabs>
        <w:spacing w:before="0" w:after="0" w:line="240" w:lineRule="auto"/>
        <w:jc w:val="center"/>
        <w:rPr>
          <w:rFonts w:hint="eastAsia" w:ascii="宋体" w:hAnsi="宋体"/>
          <w:color w:val="000000" w:themeColor="text1"/>
          <w:sz w:val="28"/>
          <w:szCs w:val="28"/>
          <w:highlight w:val="none"/>
          <w14:textFill>
            <w14:solidFill>
              <w14:schemeClr w14:val="tx1"/>
            </w14:solidFill>
          </w14:textFill>
        </w:rPr>
        <w:sectPr>
          <w:headerReference r:id="rId4" w:type="first"/>
          <w:headerReference r:id="rId3" w:type="default"/>
          <w:footerReference r:id="rId5" w:type="default"/>
          <w:pgSz w:w="11906" w:h="16838"/>
          <w:pgMar w:top="1247" w:right="1304" w:bottom="1247" w:left="1440" w:header="720" w:footer="851" w:gutter="0"/>
          <w:pgNumType w:start="1"/>
          <w:cols w:space="720" w:num="1"/>
          <w:docGrid w:linePitch="326" w:charSpace="0"/>
        </w:sectPr>
      </w:pPr>
      <w:bookmarkStart w:id="0" w:name="_Toc230662926"/>
    </w:p>
    <w:p>
      <w:pPr>
        <w:pStyle w:val="3"/>
        <w:keepLines w:val="0"/>
        <w:tabs>
          <w:tab w:val="left" w:pos="720"/>
        </w:tabs>
        <w:spacing w:before="0" w:after="0" w:line="240" w:lineRule="auto"/>
        <w:jc w:val="center"/>
        <w:rPr>
          <w:rFonts w:hint="eastAsia" w:ascii="宋体" w:hAnsi="宋体"/>
          <w:color w:val="000000" w:themeColor="text1"/>
          <w:sz w:val="28"/>
          <w:szCs w:val="28"/>
          <w:highlight w:val="none"/>
          <w:lang w:val="en-US" w:eastAsia="zh-CN"/>
          <w14:textFill>
            <w14:solidFill>
              <w14:schemeClr w14:val="tx1"/>
            </w14:solidFill>
          </w14:textFill>
        </w:rPr>
      </w:pPr>
    </w:p>
    <w:p>
      <w:pPr>
        <w:pStyle w:val="3"/>
        <w:keepLines w:val="0"/>
        <w:tabs>
          <w:tab w:val="left" w:pos="720"/>
        </w:tabs>
        <w:spacing w:before="0" w:after="0" w:line="240" w:lineRule="auto"/>
        <w:jc w:val="center"/>
        <w:rPr>
          <w:rFonts w:hint="eastAsia" w:asciiTheme="minorEastAsia" w:hAnsiTheme="minorEastAsia" w:eastAsiaTheme="minorEastAsia" w:cstheme="minorEastAsia"/>
          <w:b/>
          <w:bCs/>
          <w:sz w:val="24"/>
          <w:szCs w:val="24"/>
          <w:highlight w:val="none"/>
          <w:lang w:eastAsia="zh-CN"/>
        </w:rPr>
      </w:pPr>
      <w:r>
        <w:rPr>
          <w:rFonts w:hint="eastAsia" w:ascii="宋体" w:hAnsi="宋体"/>
          <w:color w:val="000000" w:themeColor="text1"/>
          <w:sz w:val="28"/>
          <w:szCs w:val="28"/>
          <w:highlight w:val="none"/>
          <w:lang w:val="en-US" w:eastAsia="zh-CN"/>
          <w14:textFill>
            <w14:solidFill>
              <w14:schemeClr w14:val="tx1"/>
            </w14:solidFill>
          </w14:textFill>
        </w:rPr>
        <w:t>第一章  比选公告</w:t>
      </w:r>
    </w:p>
    <w:p>
      <w:pPr>
        <w:spacing w:line="360" w:lineRule="auto"/>
        <w:ind w:firstLine="0" w:firstLineChars="0"/>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一、</w:t>
      </w:r>
      <w:r>
        <w:rPr>
          <w:rFonts w:hint="eastAsia" w:asciiTheme="minorEastAsia" w:hAnsiTheme="minorEastAsia" w:eastAsiaTheme="minorEastAsia" w:cstheme="minorEastAsia"/>
          <w:b/>
          <w:bCs/>
          <w:sz w:val="24"/>
          <w:szCs w:val="24"/>
          <w:highlight w:val="none"/>
          <w:lang w:val="en-US" w:eastAsia="zh-CN"/>
        </w:rPr>
        <w:t>比选范围（</w:t>
      </w:r>
      <w:r>
        <w:rPr>
          <w:rFonts w:hint="eastAsia" w:asciiTheme="minorEastAsia" w:hAnsiTheme="minorEastAsia" w:eastAsiaTheme="minorEastAsia" w:cstheme="minorEastAsia"/>
          <w:b/>
          <w:bCs/>
          <w:sz w:val="24"/>
          <w:szCs w:val="24"/>
          <w:highlight w:val="none"/>
          <w:lang w:eastAsia="zh-CN"/>
        </w:rPr>
        <w:t>项目概况</w:t>
      </w:r>
      <w:r>
        <w:rPr>
          <w:rFonts w:hint="eastAsia" w:asciiTheme="minorEastAsia" w:hAnsiTheme="minorEastAsia" w:eastAsiaTheme="minorEastAsia" w:cstheme="minorEastAsia"/>
          <w:b/>
          <w:bCs/>
          <w:sz w:val="24"/>
          <w:szCs w:val="24"/>
          <w:highlight w:val="none"/>
          <w:lang w:val="en-US"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详见《天然气管线工程行洪论证与河势稳定评价服务技术规范书》。</w:t>
      </w:r>
    </w:p>
    <w:p>
      <w:pPr>
        <w:numPr>
          <w:ilvl w:val="0"/>
          <w:numId w:val="0"/>
        </w:numPr>
        <w:spacing w:line="360" w:lineRule="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二、</w:t>
      </w:r>
      <w:r>
        <w:rPr>
          <w:rFonts w:hint="eastAsia" w:asciiTheme="minorEastAsia" w:hAnsiTheme="minorEastAsia" w:eastAsiaTheme="minorEastAsia" w:cstheme="minorEastAsia"/>
          <w:b/>
          <w:bCs/>
          <w:sz w:val="24"/>
          <w:szCs w:val="24"/>
          <w:highlight w:val="none"/>
          <w:lang w:val="en-US" w:eastAsia="zh-CN"/>
        </w:rPr>
        <w:t>比选申请</w:t>
      </w:r>
      <w:r>
        <w:rPr>
          <w:rFonts w:hint="eastAsia" w:asciiTheme="minorEastAsia" w:hAnsiTheme="minorEastAsia" w:eastAsiaTheme="minorEastAsia" w:cstheme="minorEastAsia"/>
          <w:b/>
          <w:bCs/>
          <w:sz w:val="24"/>
          <w:szCs w:val="24"/>
          <w:highlight w:val="none"/>
          <w:lang w:eastAsia="zh-CN"/>
        </w:rPr>
        <w:t>人资质要求</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1.比选申请人为法人或非法人组织，且未被市场监管部门列入经营异常名录；</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2.比选申请人具有</w:t>
      </w:r>
      <w:r>
        <w:rPr>
          <w:rFonts w:hint="eastAsia"/>
          <w:sz w:val="24"/>
          <w:lang w:val="en-US" w:eastAsia="zh-CN"/>
        </w:rPr>
        <w:t>水文水资源评价乙</w:t>
      </w:r>
      <w:r>
        <w:rPr>
          <w:rFonts w:hint="eastAsia"/>
          <w:sz w:val="24"/>
        </w:rPr>
        <w:t>级</w:t>
      </w:r>
      <w:r>
        <w:rPr>
          <w:rFonts w:hint="eastAsia"/>
          <w:sz w:val="24"/>
          <w:lang w:val="en-US" w:eastAsia="zh-CN"/>
        </w:rPr>
        <w:t>及以上资质</w:t>
      </w:r>
      <w:r>
        <w:rPr>
          <w:rFonts w:hint="eastAsia" w:asciiTheme="minorEastAsia" w:hAnsiTheme="minorEastAsia" w:eastAsiaTheme="minorEastAsia" w:cstheme="minorEastAsia"/>
          <w:b w:val="0"/>
          <w:bCs w:val="0"/>
          <w:kern w:val="2"/>
          <w:sz w:val="24"/>
          <w:szCs w:val="24"/>
          <w:highlight w:val="none"/>
          <w:lang w:val="en-US" w:eastAsia="zh-CN" w:bidi="ar-SA"/>
        </w:rPr>
        <w:t>；</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3.近</w:t>
      </w:r>
      <w:r>
        <w:rPr>
          <w:rFonts w:hint="eastAsia"/>
          <w:sz w:val="24"/>
          <w:lang w:val="en-US" w:eastAsia="zh-CN"/>
        </w:rPr>
        <w:t>五</w:t>
      </w:r>
      <w:r>
        <w:rPr>
          <w:rFonts w:hint="eastAsia"/>
          <w:sz w:val="24"/>
        </w:rPr>
        <w:t>年开展业绩总量不低于</w:t>
      </w:r>
      <w:r>
        <w:rPr>
          <w:rFonts w:hint="eastAsia"/>
          <w:sz w:val="24"/>
          <w:lang w:eastAsia="zh-CN"/>
        </w:rPr>
        <w:t>3</w:t>
      </w:r>
      <w:r>
        <w:rPr>
          <w:rFonts w:hint="eastAsia"/>
          <w:sz w:val="24"/>
        </w:rPr>
        <w:t>个</w:t>
      </w:r>
      <w:r>
        <w:rPr>
          <w:rFonts w:hint="eastAsia" w:asciiTheme="minorEastAsia" w:hAnsiTheme="minorEastAsia" w:eastAsiaTheme="minorEastAsia" w:cstheme="minorEastAsia"/>
          <w:b w:val="0"/>
          <w:bCs w:val="0"/>
          <w:kern w:val="2"/>
          <w:sz w:val="24"/>
          <w:szCs w:val="24"/>
          <w:highlight w:val="none"/>
          <w:lang w:val="en-US" w:eastAsia="zh-CN" w:bidi="ar-SA"/>
        </w:rPr>
        <w:t>。</w:t>
      </w:r>
    </w:p>
    <w:p>
      <w:pPr>
        <w:numPr>
          <w:ilvl w:val="0"/>
          <w:numId w:val="0"/>
        </w:num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三、</w:t>
      </w:r>
      <w:r>
        <w:rPr>
          <w:rFonts w:hint="eastAsia" w:asciiTheme="minorEastAsia" w:hAnsiTheme="minorEastAsia" w:eastAsiaTheme="minorEastAsia" w:cstheme="minorEastAsia"/>
          <w:b/>
          <w:bCs/>
          <w:sz w:val="24"/>
          <w:szCs w:val="24"/>
          <w:highlight w:val="none"/>
          <w:lang w:val="en-US" w:eastAsia="zh-CN"/>
        </w:rPr>
        <w:t>比选文件的获取</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2024年10月10日起，比选申请人派人到比选人现场领取或接收电子文档。</w:t>
      </w:r>
    </w:p>
    <w:p>
      <w:pPr>
        <w:numPr>
          <w:ilvl w:val="0"/>
          <w:numId w:val="0"/>
        </w:num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四、送达比选申请文件的截止时间、方式</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比选申请文件送达截止时间：2024年10月16日10:00。</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kern w:val="2"/>
          <w:sz w:val="24"/>
          <w:szCs w:val="24"/>
          <w:highlight w:val="none"/>
          <w:lang w:val="en-US" w:eastAsia="zh-CN" w:bidi="ar-SA"/>
        </w:rPr>
        <w:t>比选申请文件送达地点：</w:t>
      </w:r>
      <w:r>
        <w:rPr>
          <w:rFonts w:hint="eastAsia" w:asciiTheme="minorEastAsia" w:hAnsiTheme="minorEastAsia" w:eastAsiaTheme="minorEastAsia" w:cstheme="minorEastAsia"/>
          <w:sz w:val="24"/>
          <w:szCs w:val="24"/>
          <w:highlight w:val="none"/>
          <w:lang w:val="en-US" w:eastAsia="zh-CN"/>
        </w:rPr>
        <w:t>川投（泸州）燃气发电有限公司（泸州市江阳区江北镇川南发电公司正大门）。</w:t>
      </w:r>
    </w:p>
    <w:p>
      <w:pPr>
        <w:numPr>
          <w:ilvl w:val="0"/>
          <w:numId w:val="0"/>
        </w:num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五、项目单位联系电话及比选公告发布媒介</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川投（泸州）燃气发电有限公司，0830-3628191。</w:t>
      </w:r>
      <w:bookmarkStart w:id="36" w:name="_GoBack"/>
      <w:bookmarkEnd w:id="36"/>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比选公告于天府阳光采购服务平台</w:t>
      </w:r>
      <w:r>
        <w:rPr>
          <w:rFonts w:hint="eastAsia" w:asciiTheme="minorEastAsia" w:hAnsiTheme="minorEastAsia" w:eastAsiaTheme="minorEastAsia" w:cstheme="minorEastAsia"/>
          <w:sz w:val="24"/>
          <w:szCs w:val="24"/>
          <w:highlight w:val="none"/>
          <w:lang w:val="en-US" w:eastAsia="zh-CN"/>
        </w:rPr>
        <w:t>、川投（泸州）燃气发电有限公司官网</w:t>
      </w:r>
      <w:r>
        <w:rPr>
          <w:rFonts w:hint="eastAsia" w:asciiTheme="minorEastAsia" w:hAnsiTheme="minorEastAsia" w:eastAsiaTheme="minorEastAsia" w:cstheme="minorEastAsia"/>
          <w:b w:val="0"/>
          <w:bCs w:val="0"/>
          <w:kern w:val="2"/>
          <w:sz w:val="24"/>
          <w:szCs w:val="24"/>
          <w:highlight w:val="none"/>
          <w:lang w:val="en-US" w:eastAsia="zh-CN" w:bidi="ar-SA"/>
        </w:rPr>
        <w:t>发布。</w:t>
      </w:r>
    </w:p>
    <w:p>
      <w:pPr>
        <w:pStyle w:val="3"/>
        <w:keepLines w:val="0"/>
        <w:tabs>
          <w:tab w:val="left" w:pos="720"/>
        </w:tabs>
        <w:spacing w:before="0" w:after="0" w:line="240" w:lineRule="auto"/>
        <w:jc w:val="both"/>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pStyle w:val="4"/>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pStyle w:val="3"/>
        <w:keepLines w:val="0"/>
        <w:tabs>
          <w:tab w:val="left" w:pos="720"/>
        </w:tabs>
        <w:spacing w:before="0" w:after="0" w:line="240" w:lineRule="auto"/>
        <w:jc w:val="center"/>
        <w:rPr>
          <w:rFonts w:hint="eastAsia" w:ascii="宋体" w:hAnsi="宋体"/>
          <w:color w:val="000000" w:themeColor="text1"/>
          <w:sz w:val="28"/>
          <w:szCs w:val="28"/>
          <w:highlight w:val="none"/>
          <w14:textFill>
            <w14:solidFill>
              <w14:schemeClr w14:val="tx1"/>
            </w14:solidFill>
          </w14:textFill>
        </w:rPr>
      </w:pPr>
    </w:p>
    <w:p>
      <w:pPr>
        <w:pStyle w:val="3"/>
        <w:keepLines w:val="0"/>
        <w:tabs>
          <w:tab w:val="left" w:pos="720"/>
        </w:tabs>
        <w:spacing w:before="0" w:after="0" w:line="240" w:lineRule="auto"/>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 xml:space="preserve">第二章  </w:t>
      </w:r>
      <w:r>
        <w:rPr>
          <w:rFonts w:hint="eastAsia" w:ascii="宋体" w:hAnsi="宋体"/>
          <w:color w:val="000000" w:themeColor="text1"/>
          <w:sz w:val="28"/>
          <w:szCs w:val="28"/>
          <w:highlight w:val="none"/>
          <w14:textFill>
            <w14:solidFill>
              <w14:schemeClr w14:val="tx1"/>
            </w14:solidFill>
          </w14:textFill>
        </w:rPr>
        <w:t>比选须知前附表</w:t>
      </w:r>
      <w:bookmarkEnd w:id="0"/>
    </w:p>
    <w:p>
      <w:pPr>
        <w:rPr>
          <w:color w:val="000000" w:themeColor="text1"/>
          <w:highlight w:val="none"/>
          <w14:textFill>
            <w14:solidFill>
              <w14:schemeClr w14:val="tx1"/>
            </w14:solidFill>
          </w14:textFill>
        </w:rPr>
      </w:pPr>
    </w:p>
    <w:tbl>
      <w:tblPr>
        <w:tblStyle w:val="22"/>
        <w:tblW w:w="9678" w:type="dxa"/>
        <w:tblInd w:w="-18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88"/>
        <w:gridCol w:w="1751"/>
        <w:gridCol w:w="71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6" w:hRule="atLeast"/>
        </w:trPr>
        <w:tc>
          <w:tcPr>
            <w:tcW w:w="788" w:type="dxa"/>
            <w:tcBorders>
              <w:top w:val="single" w:color="auto" w:sz="4" w:space="0"/>
              <w:left w:val="single" w:color="auto" w:sz="4" w:space="0"/>
              <w:bottom w:val="single" w:color="auto" w:sz="4" w:space="0"/>
              <w:right w:val="single" w:color="auto" w:sz="4" w:space="0"/>
            </w:tcBorders>
            <w:vAlign w:val="center"/>
          </w:tcPr>
          <w:p>
            <w:pPr>
              <w:ind w:right="-358"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项号</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7139" w:type="dxa"/>
            <w:tcBorders>
              <w:top w:val="single" w:color="auto" w:sz="4" w:space="0"/>
              <w:left w:val="single" w:color="auto" w:sz="4" w:space="0"/>
              <w:bottom w:val="single" w:color="auto" w:sz="4" w:space="0"/>
              <w:right w:val="single" w:color="auto" w:sz="4" w:space="0"/>
            </w:tcBorders>
            <w:vAlign w:val="center"/>
          </w:tcPr>
          <w:p>
            <w:pPr>
              <w:tabs>
                <w:tab w:val="left" w:pos="1180"/>
              </w:tabs>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38"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工程名称</w:t>
            </w:r>
          </w:p>
        </w:tc>
        <w:tc>
          <w:tcPr>
            <w:tcW w:w="713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天然气管线工程行洪论证与河势稳定评价服务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6"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工程地点</w:t>
            </w:r>
          </w:p>
        </w:tc>
        <w:tc>
          <w:tcPr>
            <w:tcW w:w="7139"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四川省</w:t>
            </w:r>
            <w:r>
              <w:rPr>
                <w:rFonts w:hint="eastAsia" w:ascii="宋体" w:hAnsi="宋体" w:cs="宋体"/>
                <w:color w:val="000000" w:themeColor="text1"/>
                <w:szCs w:val="21"/>
                <w:highlight w:val="none"/>
                <w:lang w:val="en-US" w:eastAsia="zh-CN"/>
                <w14:textFill>
                  <w14:solidFill>
                    <w14:schemeClr w14:val="tx1"/>
                  </w14:solidFill>
                </w14:textFill>
              </w:rPr>
              <w:t>泸州市江阳区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6"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比选范围</w:t>
            </w:r>
          </w:p>
        </w:tc>
        <w:tc>
          <w:tcPr>
            <w:tcW w:w="71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24"/>
                <w:szCs w:val="21"/>
                <w:highlight w:val="none"/>
                <w:lang w:val="zh-CN"/>
                <w14:textFill>
                  <w14:solidFill>
                    <w14:schemeClr w14:val="tx1"/>
                  </w14:solidFill>
                </w14:textFill>
              </w:rPr>
              <w:t>详见“</w:t>
            </w:r>
            <w:r>
              <w:rPr>
                <w:rFonts w:hint="eastAsia" w:ascii="宋体" w:hAnsi="宋体"/>
                <w:color w:val="000000" w:themeColor="text1"/>
                <w:szCs w:val="21"/>
                <w:highlight w:val="none"/>
                <w:lang w:val="en-US" w:eastAsia="zh-CN"/>
                <w14:textFill>
                  <w14:solidFill>
                    <w14:schemeClr w14:val="tx1"/>
                  </w14:solidFill>
                </w14:textFill>
              </w:rPr>
              <w:t>第二章 技术部分</w:t>
            </w:r>
            <w:r>
              <w:rPr>
                <w:rFonts w:hint="eastAsia" w:ascii="宋体" w:hAnsi="宋体" w:cs="宋体"/>
                <w:color w:val="000000" w:themeColor="text1"/>
                <w:kern w:val="24"/>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6"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承包方式</w:t>
            </w:r>
          </w:p>
        </w:tc>
        <w:tc>
          <w:tcPr>
            <w:tcW w:w="7139"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总价承包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6"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质量标准</w:t>
            </w:r>
          </w:p>
        </w:tc>
        <w:tc>
          <w:tcPr>
            <w:tcW w:w="71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6"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资金来源</w:t>
            </w:r>
          </w:p>
        </w:tc>
        <w:tc>
          <w:tcPr>
            <w:tcW w:w="71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比选人自筹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33"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比选申请人</w:t>
            </w:r>
            <w:r>
              <w:rPr>
                <w:rFonts w:hint="eastAsia" w:ascii="宋体" w:hAnsi="宋体" w:cs="宋体"/>
                <w:color w:val="000000" w:themeColor="text1"/>
                <w:szCs w:val="21"/>
                <w:highlight w:val="none"/>
                <w:lang w:val="en-US" w:eastAsia="zh-CN"/>
                <w14:textFill>
                  <w14:solidFill>
                    <w14:schemeClr w14:val="tx1"/>
                  </w14:solidFill>
                </w14:textFill>
              </w:rPr>
              <w:t>资格</w:t>
            </w:r>
            <w:r>
              <w:rPr>
                <w:rFonts w:hint="eastAsia" w:ascii="宋体" w:hAnsi="宋体" w:cs="宋体"/>
                <w:color w:val="000000" w:themeColor="text1"/>
                <w:szCs w:val="21"/>
                <w:highlight w:val="none"/>
                <w14:textFill>
                  <w14:solidFill>
                    <w14:schemeClr w14:val="tx1"/>
                  </w14:solidFill>
                </w14:textFill>
              </w:rPr>
              <w:t>资质</w:t>
            </w:r>
            <w:r>
              <w:rPr>
                <w:rFonts w:hint="eastAsia" w:ascii="宋体" w:hAnsi="宋体" w:cs="宋体"/>
                <w:color w:val="000000" w:themeColor="text1"/>
                <w:szCs w:val="21"/>
                <w:highlight w:val="none"/>
                <w:lang w:val="en-US" w:eastAsia="zh-CN"/>
                <w14:textFill>
                  <w14:solidFill>
                    <w14:schemeClr w14:val="tx1"/>
                  </w14:solidFill>
                </w14:textFill>
              </w:rPr>
              <w:t>业绩</w:t>
            </w:r>
            <w:r>
              <w:rPr>
                <w:rFonts w:hint="eastAsia" w:ascii="宋体" w:hAnsi="宋体" w:cs="宋体"/>
                <w:color w:val="000000" w:themeColor="text1"/>
                <w:szCs w:val="21"/>
                <w:highlight w:val="none"/>
                <w14:textFill>
                  <w14:solidFill>
                    <w14:schemeClr w14:val="tx1"/>
                  </w14:solidFill>
                </w14:textFill>
              </w:rPr>
              <w:t>要求</w:t>
            </w:r>
          </w:p>
        </w:tc>
        <w:tc>
          <w:tcPr>
            <w:tcW w:w="7139" w:type="dxa"/>
            <w:tcBorders>
              <w:top w:val="single" w:color="auto" w:sz="4" w:space="0"/>
              <w:left w:val="single" w:color="auto" w:sz="4" w:space="0"/>
              <w:bottom w:val="single" w:color="auto" w:sz="4" w:space="0"/>
              <w:right w:val="single" w:color="auto" w:sz="4" w:space="0"/>
            </w:tcBorders>
            <w:vAlign w:val="center"/>
          </w:tcPr>
          <w:p>
            <w:pPr>
              <w:pStyle w:val="9"/>
              <w:widowControl/>
              <w:spacing w:line="240" w:lineRule="auto"/>
              <w:ind w:left="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详</w:t>
            </w:r>
            <w:r>
              <w:rPr>
                <w:rFonts w:hint="eastAsia" w:ascii="宋体" w:hAnsi="宋体" w:cs="宋体"/>
                <w:color w:val="000000" w:themeColor="text1"/>
                <w:sz w:val="21"/>
                <w:szCs w:val="21"/>
                <w:highlight w:val="none"/>
                <w14:textFill>
                  <w14:solidFill>
                    <w14:schemeClr w14:val="tx1"/>
                  </w14:solidFill>
                </w14:textFill>
              </w:rPr>
              <w:t>见</w:t>
            </w:r>
            <w:r>
              <w:rPr>
                <w:rFonts w:hint="eastAsia" w:ascii="宋体" w:hAnsi="宋体" w:cs="宋体"/>
                <w:color w:val="000000" w:themeColor="text1"/>
                <w:sz w:val="21"/>
                <w:szCs w:val="21"/>
                <w:highlight w:val="none"/>
                <w:lang w:val="en-US" w:eastAsia="zh-CN"/>
                <w14:textFill>
                  <w14:solidFill>
                    <w14:schemeClr w14:val="tx1"/>
                  </w14:solidFill>
                </w14:textFill>
              </w:rPr>
              <w:t>比选文件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6"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资格审查方式</w:t>
            </w:r>
          </w:p>
        </w:tc>
        <w:tc>
          <w:tcPr>
            <w:tcW w:w="71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02"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合同工期</w:t>
            </w:r>
          </w:p>
        </w:tc>
        <w:tc>
          <w:tcPr>
            <w:tcW w:w="71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24"/>
                <w:szCs w:val="21"/>
                <w:highlight w:val="none"/>
                <w:lang w:val="en-US" w:eastAsia="zh-CN"/>
                <w14:textFill>
                  <w14:solidFill>
                    <w14:schemeClr w14:val="tx1"/>
                  </w14:solidFill>
                </w14:textFill>
              </w:rPr>
              <w:t>详见</w:t>
            </w:r>
            <w:r>
              <w:rPr>
                <w:rFonts w:hint="eastAsia" w:ascii="宋体" w:hAnsi="宋体" w:cs="宋体"/>
                <w:color w:val="000000" w:themeColor="text1"/>
                <w:kern w:val="24"/>
                <w:szCs w:val="21"/>
                <w:highlight w:val="none"/>
                <w:lang w:val="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第五章 技术部分</w:t>
            </w:r>
            <w:r>
              <w:rPr>
                <w:rFonts w:hint="eastAsia" w:ascii="宋体" w:hAnsi="宋体" w:cs="宋体"/>
                <w:color w:val="000000" w:themeColor="text1"/>
                <w:kern w:val="24"/>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6"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比选有效期</w:t>
            </w:r>
          </w:p>
        </w:tc>
        <w:tc>
          <w:tcPr>
            <w:tcW w:w="71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120</w:t>
            </w:r>
            <w:r>
              <w:rPr>
                <w:rFonts w:hint="eastAsia" w:ascii="宋体" w:hAnsi="宋体" w:cs="宋体"/>
                <w:color w:val="000000" w:themeColor="text1"/>
                <w:szCs w:val="21"/>
                <w:highlight w:val="none"/>
                <w14:textFill>
                  <w14:solidFill>
                    <w14:schemeClr w14:val="tx1"/>
                  </w14:solidFill>
                </w14:textFill>
              </w:rPr>
              <w:t>日历天（从比选截止之日起计算）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57"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比选保证金</w:t>
            </w:r>
          </w:p>
        </w:tc>
        <w:tc>
          <w:tcPr>
            <w:tcW w:w="713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highlight w:val="none"/>
              </w:rPr>
            </w:pPr>
            <w:r>
              <w:rPr>
                <w:rFonts w:hint="eastAsia"/>
                <w:highlight w:val="none"/>
                <w:lang w:val="en-US" w:eastAsia="zh-CN"/>
              </w:rPr>
              <w:t>比选</w:t>
            </w:r>
            <w:r>
              <w:rPr>
                <w:rFonts w:hint="eastAsia"/>
                <w:highlight w:val="none"/>
              </w:rPr>
              <w:t>保证金为</w:t>
            </w:r>
            <w:r>
              <w:rPr>
                <w:rFonts w:hint="eastAsia"/>
                <w:highlight w:val="none"/>
                <w:lang w:val="en-US" w:eastAsia="zh-CN"/>
              </w:rPr>
              <w:t>¥2,000</w:t>
            </w:r>
            <w:r>
              <w:rPr>
                <w:rFonts w:hint="eastAsia"/>
                <w:highlight w:val="none"/>
              </w:rPr>
              <w:t>元（</w:t>
            </w:r>
            <w:r>
              <w:rPr>
                <w:rFonts w:hint="eastAsia"/>
                <w:highlight w:val="none"/>
                <w:lang w:val="en-US" w:eastAsia="zh-CN"/>
              </w:rPr>
              <w:t>贰仟元整</w:t>
            </w:r>
            <w:r>
              <w:rPr>
                <w:rFonts w:hint="eastAsia"/>
                <w:highlight w:val="none"/>
              </w:rPr>
              <w:t>），到账截止时间为202</w:t>
            </w:r>
            <w:r>
              <w:rPr>
                <w:rFonts w:hint="eastAsia"/>
                <w:highlight w:val="none"/>
                <w:lang w:val="en-US" w:eastAsia="zh-CN"/>
              </w:rPr>
              <w:t>4</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16</w:t>
            </w:r>
            <w:r>
              <w:rPr>
                <w:rFonts w:hint="eastAsia"/>
                <w:highlight w:val="none"/>
              </w:rPr>
              <w:t>日1</w:t>
            </w:r>
            <w:r>
              <w:rPr>
                <w:rFonts w:hint="eastAsia"/>
                <w:highlight w:val="none"/>
                <w:lang w:val="en-US" w:eastAsia="zh-CN"/>
              </w:rPr>
              <w:t>0</w:t>
            </w:r>
            <w:r>
              <w:rPr>
                <w:rFonts w:hint="eastAsia"/>
                <w:highlight w:val="none"/>
              </w:rPr>
              <w:t>：00(北京时</w:t>
            </w:r>
            <w:r>
              <w:rPr>
                <w:rFonts w:hint="eastAsia" w:ascii="Times New Roman" w:hAnsi="Times New Roman" w:eastAsia="宋体" w:cs="Times New Roman"/>
                <w:highlight w:val="none"/>
              </w:rPr>
              <w:t>间)。</w:t>
            </w:r>
          </w:p>
          <w:p>
            <w:pPr>
              <w:rPr>
                <w:rFonts w:hint="eastAsia" w:ascii="Times New Roman" w:hAnsi="Times New Roman" w:eastAsia="宋体" w:cs="Times New Roman"/>
                <w:highlight w:val="none"/>
              </w:rPr>
            </w:pPr>
            <w:r>
              <w:rPr>
                <w:rFonts w:hint="eastAsia" w:ascii="Times New Roman" w:hAnsi="Times New Roman" w:cs="Times New Roman"/>
                <w:highlight w:val="none"/>
                <w:lang w:val="en-US" w:eastAsia="zh-CN"/>
              </w:rPr>
              <w:t>投标人</w:t>
            </w:r>
            <w:r>
              <w:rPr>
                <w:rFonts w:hint="eastAsia" w:ascii="Times New Roman" w:hAnsi="Times New Roman" w:eastAsia="宋体" w:cs="Times New Roman"/>
                <w:highlight w:val="none"/>
              </w:rPr>
              <w:t>可以选择下列两种形式之一提交:</w:t>
            </w:r>
          </w:p>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（1）转账</w:t>
            </w:r>
          </w:p>
          <w:p>
            <w:pPr>
              <w:rPr>
                <w:rFonts w:hint="eastAsia" w:ascii="Times New Roman" w:hAnsi="Times New Roman" w:eastAsia="宋体" w:cs="Times New Roman"/>
                <w:highlight w:val="none"/>
              </w:rPr>
            </w:pPr>
            <w:r>
              <w:rPr>
                <w:rFonts w:hint="eastAsia" w:ascii="Times New Roman" w:hAnsi="Times New Roman" w:cs="Times New Roman"/>
                <w:highlight w:val="none"/>
                <w:lang w:val="en-US" w:eastAsia="zh-CN"/>
              </w:rPr>
              <w:t>投标</w:t>
            </w:r>
            <w:r>
              <w:rPr>
                <w:rFonts w:hint="eastAsia" w:ascii="Times New Roman" w:hAnsi="Times New Roman" w:eastAsia="宋体" w:cs="Times New Roman"/>
                <w:highlight w:val="none"/>
              </w:rPr>
              <w:t>保证金存入账户：</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户名:</w:t>
            </w:r>
            <w:r>
              <w:rPr>
                <w:rFonts w:hint="eastAsia" w:ascii="Times New Roman" w:hAnsi="Times New Roman" w:eastAsia="宋体" w:cs="Times New Roman"/>
                <w:highlight w:val="none"/>
                <w:lang w:val="en-US" w:eastAsia="zh-CN"/>
              </w:rPr>
              <w:t>川投（</w:t>
            </w:r>
            <w:r>
              <w:rPr>
                <w:rFonts w:hint="eastAsia" w:ascii="Times New Roman" w:hAnsi="Times New Roman" w:eastAsia="宋体" w:cs="Times New Roman"/>
                <w:highlight w:val="none"/>
                <w:lang w:eastAsia="zh-CN"/>
              </w:rPr>
              <w:t>泸州）</w:t>
            </w:r>
            <w:r>
              <w:rPr>
                <w:rFonts w:hint="eastAsia" w:ascii="Times New Roman" w:hAnsi="Times New Roman" w:eastAsia="宋体" w:cs="Times New Roman"/>
                <w:highlight w:val="none"/>
                <w:lang w:val="en-US" w:eastAsia="zh-CN"/>
              </w:rPr>
              <w:t>燃气发电</w:t>
            </w:r>
            <w:r>
              <w:rPr>
                <w:rFonts w:hint="eastAsia" w:ascii="Times New Roman" w:hAnsi="Times New Roman" w:eastAsia="宋体" w:cs="Times New Roman"/>
                <w:highlight w:val="none"/>
                <w:lang w:eastAsia="zh-CN"/>
              </w:rPr>
              <w:t>有限公司</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开户银行：</w:t>
            </w:r>
            <w:r>
              <w:rPr>
                <w:rFonts w:hint="eastAsia" w:ascii="Times New Roman" w:hAnsi="Times New Roman" w:eastAsia="宋体" w:cs="Times New Roman"/>
                <w:highlight w:val="none"/>
                <w:lang w:val="en-US" w:eastAsia="zh-CN"/>
              </w:rPr>
              <w:t>中国工商银行股份有限公司</w:t>
            </w:r>
            <w:r>
              <w:rPr>
                <w:rFonts w:hint="eastAsia" w:ascii="Times New Roman" w:hAnsi="Times New Roman" w:eastAsia="宋体" w:cs="Times New Roman"/>
                <w:highlight w:val="none"/>
              </w:rPr>
              <w:t>泸州江阳支行</w:t>
            </w:r>
          </w:p>
          <w:p>
            <w:pPr>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帐号：</w:t>
            </w:r>
            <w:r>
              <w:rPr>
                <w:rFonts w:hint="eastAsia" w:ascii="Times New Roman" w:hAnsi="Times New Roman" w:eastAsia="宋体" w:cs="Times New Roman"/>
                <w:highlight w:val="none"/>
                <w:lang w:val="en-US" w:eastAsia="zh-CN"/>
              </w:rPr>
              <w:t>2304343109100024976</w:t>
            </w:r>
          </w:p>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（2）保函</w:t>
            </w:r>
          </w:p>
          <w:p>
            <w:pPr>
              <w:rPr>
                <w:rFonts w:ascii="宋体" w:hAnsi="宋体" w:cs="宋体"/>
                <w:color w:val="000000" w:themeColor="text1"/>
                <w:szCs w:val="21"/>
                <w:highlight w:val="none"/>
                <w14:textFill>
                  <w14:solidFill>
                    <w14:schemeClr w14:val="tx1"/>
                  </w14:solidFill>
                </w14:textFill>
              </w:rPr>
            </w:pPr>
            <w:r>
              <w:rPr>
                <w:rFonts w:hint="eastAsia" w:ascii="Times New Roman" w:hAnsi="Times New Roman" w:cs="Times New Roman"/>
                <w:highlight w:val="none"/>
                <w:lang w:val="en-US" w:eastAsia="zh-CN"/>
              </w:rPr>
              <w:t>投标人</w:t>
            </w:r>
            <w:r>
              <w:rPr>
                <w:rFonts w:hint="default" w:ascii="Times New Roman" w:hAnsi="Times New Roman" w:eastAsia="宋体" w:cs="Times New Roman"/>
                <w:highlight w:val="none"/>
                <w:lang w:val="en-US" w:eastAsia="zh-CN"/>
              </w:rPr>
              <w:t>需将保函</w:t>
            </w:r>
            <w:r>
              <w:rPr>
                <w:rFonts w:hint="eastAsia" w:ascii="Times New Roman" w:hAnsi="Times New Roman" w:eastAsia="宋体" w:cs="Times New Roman"/>
                <w:highlight w:val="none"/>
                <w:lang w:val="en-US" w:eastAsia="zh-CN"/>
              </w:rPr>
              <w:t>原件与</w:t>
            </w:r>
            <w:r>
              <w:rPr>
                <w:rFonts w:hint="eastAsia" w:ascii="Times New Roman" w:hAnsi="Times New Roman" w:cs="Times New Roman"/>
                <w:highlight w:val="none"/>
                <w:lang w:val="en-US" w:eastAsia="zh-CN"/>
              </w:rPr>
              <w:t>投标</w:t>
            </w:r>
            <w:r>
              <w:rPr>
                <w:rFonts w:hint="default" w:ascii="Times New Roman" w:hAnsi="Times New Roman" w:eastAsia="宋体" w:cs="Times New Roman"/>
                <w:highlight w:val="none"/>
                <w:lang w:val="en-US" w:eastAsia="zh-CN"/>
              </w:rPr>
              <w:t>文件</w:t>
            </w:r>
            <w:r>
              <w:rPr>
                <w:rFonts w:hint="eastAsia" w:ascii="Times New Roman" w:hAnsi="Times New Roman" w:eastAsia="宋体" w:cs="Times New Roman"/>
                <w:highlight w:val="none"/>
                <w:lang w:val="en-US" w:eastAsia="zh-CN"/>
              </w:rPr>
              <w:t>一并递交</w:t>
            </w:r>
            <w:r>
              <w:rPr>
                <w:rFonts w:hint="eastAsia" w:ascii="宋体" w:hAnsi="宋体" w:cs="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4"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踏勘现场</w:t>
            </w:r>
          </w:p>
        </w:tc>
        <w:tc>
          <w:tcPr>
            <w:tcW w:w="713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6"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比选申请文件封装</w:t>
            </w:r>
          </w:p>
        </w:tc>
        <w:tc>
          <w:tcPr>
            <w:tcW w:w="713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报价</w:t>
            </w:r>
            <w:r>
              <w:rPr>
                <w:rFonts w:hint="eastAsia" w:ascii="宋体" w:hAnsi="宋体" w:cs="宋体"/>
                <w:b/>
                <w:color w:val="000000" w:themeColor="text1"/>
                <w:szCs w:val="21"/>
                <w:highlight w:val="none"/>
                <w:lang w:val="en-US"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商务</w:t>
            </w:r>
            <w:r>
              <w:rPr>
                <w:rFonts w:hint="eastAsia" w:ascii="宋体" w:hAnsi="宋体" w:cs="宋体"/>
                <w:b/>
                <w:color w:val="000000" w:themeColor="text1"/>
                <w:szCs w:val="21"/>
                <w:highlight w:val="none"/>
                <w:lang w:val="en-US"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技术</w:t>
            </w:r>
            <w:r>
              <w:rPr>
                <w:rFonts w:hint="eastAsia" w:ascii="宋体" w:hAnsi="宋体" w:cs="宋体"/>
                <w:b/>
                <w:color w:val="000000" w:themeColor="text1"/>
                <w:szCs w:val="21"/>
                <w:highlight w:val="none"/>
                <w:lang w:val="en-US" w:eastAsia="zh-CN"/>
                <w14:textFill>
                  <w14:solidFill>
                    <w14:schemeClr w14:val="tx1"/>
                  </w14:solidFill>
                </w14:textFill>
              </w:rPr>
              <w:t>文件</w:t>
            </w:r>
            <w:r>
              <w:rPr>
                <w:rFonts w:hint="eastAsia" w:ascii="宋体" w:hAnsi="宋体" w:cs="宋体"/>
                <w:b/>
                <w:color w:val="000000" w:themeColor="text1"/>
                <w:szCs w:val="21"/>
                <w:highlight w:val="none"/>
                <w14:textFill>
                  <w14:solidFill>
                    <w14:schemeClr w14:val="tx1"/>
                  </w14:solidFill>
                </w14:textFill>
              </w:rPr>
              <w:t>合装。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74"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w:t>
            </w:r>
            <w:r>
              <w:rPr>
                <w:rFonts w:hint="eastAsia" w:ascii="宋体" w:hAnsi="宋体" w:cs="宋体"/>
                <w:color w:val="000000" w:themeColor="text1"/>
                <w:szCs w:val="21"/>
                <w:highlight w:val="none"/>
                <w:lang w:val="en-US" w:eastAsia="zh-CN"/>
                <w14:textFill>
                  <w14:solidFill>
                    <w14:schemeClr w14:val="tx1"/>
                  </w14:solidFill>
                </w14:textFill>
              </w:rPr>
              <w:t>申请</w:t>
            </w:r>
            <w:r>
              <w:rPr>
                <w:rFonts w:hint="eastAsia" w:ascii="宋体" w:hAnsi="宋体" w:cs="宋体"/>
                <w:color w:val="000000" w:themeColor="text1"/>
                <w:szCs w:val="21"/>
                <w:highlight w:val="none"/>
                <w14:textFill>
                  <w14:solidFill>
                    <w14:schemeClr w14:val="tx1"/>
                  </w14:solidFill>
                </w14:textFill>
              </w:rPr>
              <w:t>文件份数页码和小签</w:t>
            </w:r>
          </w:p>
        </w:tc>
        <w:tc>
          <w:tcPr>
            <w:tcW w:w="713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纸质版</w:t>
            </w:r>
            <w:r>
              <w:rPr>
                <w:rFonts w:hint="eastAsia" w:ascii="宋体" w:hAnsi="宋体" w:cs="宋体"/>
                <w:color w:val="000000" w:themeColor="text1"/>
                <w:szCs w:val="21"/>
                <w:highlight w:val="none"/>
                <w14:textFill>
                  <w14:solidFill>
                    <w14:schemeClr w14:val="tx1"/>
                  </w14:solidFill>
                </w14:textFill>
              </w:rPr>
              <w:t>正本</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份，副本</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份；电子版1套：</w:t>
            </w:r>
            <w:r>
              <w:rPr>
                <w:rFonts w:hint="eastAsia" w:ascii="宋体" w:hAnsi="宋体" w:cs="宋体"/>
                <w:color w:val="000000" w:themeColor="text1"/>
                <w:kern w:val="0"/>
                <w:szCs w:val="21"/>
                <w:highlight w:val="none"/>
                <w14:textFill>
                  <w14:solidFill>
                    <w14:schemeClr w14:val="tx1"/>
                  </w14:solidFill>
                </w14:textFill>
              </w:rPr>
              <w:t>1）从目录开始连续、逐页</w:t>
            </w:r>
            <w:r>
              <w:rPr>
                <w:rFonts w:hint="eastAsia" w:ascii="宋体" w:hAnsi="宋体" w:cs="宋体"/>
                <w:color w:val="000000" w:themeColor="text1"/>
                <w:kern w:val="0"/>
                <w:szCs w:val="21"/>
                <w:highlight w:val="none"/>
                <w:lang w:val="en-US" w:eastAsia="zh-CN"/>
                <w14:textFill>
                  <w14:solidFill>
                    <w14:schemeClr w14:val="tx1"/>
                  </w14:solidFill>
                </w14:textFill>
              </w:rPr>
              <w:t>底端</w:t>
            </w:r>
            <w:r>
              <w:rPr>
                <w:rFonts w:hint="eastAsia" w:ascii="宋体" w:hAnsi="宋体" w:cs="宋体"/>
                <w:color w:val="000000" w:themeColor="text1"/>
                <w:kern w:val="0"/>
                <w:szCs w:val="21"/>
                <w:highlight w:val="none"/>
                <w14:textFill>
                  <w14:solidFill>
                    <w14:schemeClr w14:val="tx1"/>
                  </w14:solidFill>
                </w14:textFill>
              </w:rPr>
              <w:t>编页码；2）在编有页码的页面底端小签全名。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66"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w:t>
            </w:r>
            <w:r>
              <w:rPr>
                <w:rFonts w:hint="eastAsia" w:ascii="宋体" w:hAnsi="宋体" w:cs="宋体"/>
                <w:color w:val="000000" w:themeColor="text1"/>
                <w:szCs w:val="21"/>
                <w:highlight w:val="none"/>
                <w:lang w:val="en-US" w:eastAsia="zh-CN"/>
                <w14:textFill>
                  <w14:solidFill>
                    <w14:schemeClr w14:val="tx1"/>
                  </w14:solidFill>
                </w14:textFill>
              </w:rPr>
              <w:t>申请</w:t>
            </w:r>
            <w:r>
              <w:rPr>
                <w:rFonts w:hint="eastAsia" w:ascii="宋体" w:hAnsi="宋体" w:cs="宋体"/>
                <w:color w:val="000000" w:themeColor="text1"/>
                <w:szCs w:val="21"/>
                <w:highlight w:val="none"/>
                <w14:textFill>
                  <w14:solidFill>
                    <w14:schemeClr w14:val="tx1"/>
                  </w14:solidFill>
                </w14:textFill>
              </w:rPr>
              <w:t>文件提交地点及截止时间</w:t>
            </w:r>
          </w:p>
        </w:tc>
        <w:tc>
          <w:tcPr>
            <w:tcW w:w="71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w:t>
            </w:r>
            <w:r>
              <w:rPr>
                <w:rFonts w:hint="eastAsia" w:ascii="宋体" w:hAnsi="宋体" w:cs="宋体"/>
                <w:color w:val="000000" w:themeColor="text1"/>
                <w:szCs w:val="21"/>
                <w:highlight w:val="none"/>
                <w:lang w:val="en-US" w:eastAsia="zh-CN"/>
                <w14:textFill>
                  <w14:solidFill>
                    <w14:schemeClr w14:val="tx1"/>
                  </w14:solidFill>
                </w14:textFill>
              </w:rPr>
              <w:t>申请</w:t>
            </w:r>
            <w:r>
              <w:rPr>
                <w:rFonts w:hint="eastAsia" w:ascii="宋体" w:hAnsi="宋体" w:cs="宋体"/>
                <w:color w:val="000000" w:themeColor="text1"/>
                <w:szCs w:val="21"/>
                <w:highlight w:val="none"/>
                <w14:textFill>
                  <w14:solidFill>
                    <w14:schemeClr w14:val="tx1"/>
                  </w14:solidFill>
                </w14:textFill>
              </w:rPr>
              <w:t>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川投（泸州）燃气发电有限公司（泸州市江阳区江北镇</w:t>
            </w:r>
            <w:r>
              <w:rPr>
                <w:rFonts w:hint="eastAsia" w:asciiTheme="minorEastAsia" w:hAnsiTheme="minorEastAsia" w:eastAsiaTheme="minorEastAsia" w:cstheme="minorEastAsia"/>
                <w:sz w:val="24"/>
                <w:szCs w:val="24"/>
                <w:highlight w:val="none"/>
                <w:lang w:val="en-US" w:eastAsia="zh-CN"/>
              </w:rPr>
              <w:t>川南发电公司正大门</w:t>
            </w:r>
            <w:r>
              <w:rPr>
                <w:rFonts w:hint="eastAsia" w:ascii="宋体" w:hAnsi="宋体" w:eastAsia="宋体" w:cs="宋体"/>
                <w:color w:val="000000" w:themeColor="text1"/>
                <w:szCs w:val="21"/>
                <w:highlight w:val="none"/>
                <w:lang w:val="en-US" w:eastAsia="zh-CN"/>
                <w14:textFill>
                  <w14:solidFill>
                    <w14:schemeClr w14:val="tx1"/>
                  </w14:solidFill>
                </w14:textFill>
              </w:rPr>
              <w:t>）</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比选截止时间：202</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16</w:t>
            </w:r>
            <w:r>
              <w:rPr>
                <w:rFonts w:hint="eastAsia" w:ascii="宋体" w:hAnsi="宋体" w:cs="宋体"/>
                <w:color w:val="000000" w:themeColor="text1"/>
                <w:szCs w:val="21"/>
                <w:highlight w:val="none"/>
                <w:u w:val="single"/>
                <w14:textFill>
                  <w14:solidFill>
                    <w14:schemeClr w14:val="tx1"/>
                  </w14:solidFill>
                </w14:textFill>
              </w:rPr>
              <w:t>日10：00</w:t>
            </w:r>
            <w:r>
              <w:rPr>
                <w:rFonts w:hint="eastAsia" w:ascii="宋体" w:hAnsi="宋体" w:cs="宋体"/>
                <w:color w:val="000000" w:themeColor="text1"/>
                <w:szCs w:val="21"/>
                <w:highlight w:val="none"/>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05"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w:t>
            </w:r>
            <w:r>
              <w:rPr>
                <w:rFonts w:hint="eastAsia" w:ascii="宋体" w:hAnsi="宋体" w:cs="宋体"/>
                <w:color w:val="000000" w:themeColor="text1"/>
                <w:szCs w:val="21"/>
                <w:highlight w:val="none"/>
                <w:lang w:val="en-US" w:eastAsia="zh-CN"/>
                <w14:textFill>
                  <w14:solidFill>
                    <w14:schemeClr w14:val="tx1"/>
                  </w14:solidFill>
                </w14:textFill>
              </w:rPr>
              <w:t>评</w:t>
            </w:r>
            <w:r>
              <w:rPr>
                <w:rFonts w:hint="eastAsia" w:ascii="宋体" w:hAnsi="宋体" w:cs="宋体"/>
                <w:color w:val="000000" w:themeColor="text1"/>
                <w:szCs w:val="21"/>
                <w:highlight w:val="none"/>
                <w14:textFill>
                  <w14:solidFill>
                    <w14:schemeClr w14:val="tx1"/>
                  </w14:solidFill>
                </w14:textFill>
              </w:rPr>
              <w:t>标</w:t>
            </w:r>
          </w:p>
        </w:tc>
        <w:tc>
          <w:tcPr>
            <w:tcW w:w="7139" w:type="dxa"/>
            <w:tcBorders>
              <w:top w:val="single" w:color="auto" w:sz="4" w:space="0"/>
              <w:left w:val="single" w:color="auto" w:sz="4" w:space="0"/>
              <w:bottom w:val="single" w:color="auto" w:sz="4" w:space="0"/>
              <w:right w:val="single" w:color="auto" w:sz="4" w:space="0"/>
            </w:tcBorders>
            <w:vAlign w:val="center"/>
          </w:tcPr>
          <w:p>
            <w:pPr>
              <w:ind w:left="945" w:leftChars="0" w:hanging="945" w:hangingChars="450"/>
              <w:rPr>
                <w:rFonts w:ascii="宋体" w:hAnsi="宋体" w:cs="宋体"/>
                <w:color w:val="auto"/>
                <w:szCs w:val="21"/>
                <w:highlight w:val="none"/>
              </w:rPr>
            </w:pPr>
            <w:r>
              <w:rPr>
                <w:rFonts w:hint="eastAsia" w:ascii="宋体" w:hAnsi="宋体" w:cs="宋体"/>
                <w:color w:val="auto"/>
                <w:szCs w:val="21"/>
                <w:highlight w:val="none"/>
              </w:rPr>
              <w:t>开</w:t>
            </w:r>
            <w:r>
              <w:rPr>
                <w:rFonts w:hint="eastAsia" w:ascii="宋体" w:hAnsi="宋体" w:cs="宋体"/>
                <w:color w:val="auto"/>
                <w:szCs w:val="21"/>
                <w:highlight w:val="none"/>
                <w:lang w:val="en-US" w:eastAsia="zh-CN"/>
              </w:rPr>
              <w:t>评</w:t>
            </w:r>
            <w:r>
              <w:rPr>
                <w:rFonts w:hint="eastAsia" w:ascii="宋体" w:hAnsi="宋体" w:cs="宋体"/>
                <w:color w:val="auto"/>
                <w:szCs w:val="21"/>
                <w:highlight w:val="none"/>
              </w:rPr>
              <w:t>标时间：202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16</w:t>
            </w:r>
            <w:r>
              <w:rPr>
                <w:rFonts w:hint="eastAsia" w:ascii="宋体" w:hAnsi="宋体" w:cs="宋体"/>
                <w:color w:val="auto"/>
                <w:szCs w:val="21"/>
                <w:highlight w:val="none"/>
                <w:u w:val="single"/>
              </w:rPr>
              <w:t>日</w:t>
            </w:r>
            <w:r>
              <w:rPr>
                <w:rFonts w:hint="eastAsia" w:ascii="宋体" w:hAnsi="宋体" w:cs="宋体"/>
                <w:color w:val="auto"/>
                <w:szCs w:val="21"/>
                <w:highlight w:val="none"/>
                <w:lang w:val="en-US" w:eastAsia="zh-CN"/>
              </w:rPr>
              <w:t>10：00</w:t>
            </w:r>
            <w:r>
              <w:rPr>
                <w:rFonts w:hint="eastAsia" w:ascii="宋体" w:hAnsi="宋体" w:cs="宋体"/>
                <w:color w:val="auto"/>
                <w:szCs w:val="21"/>
                <w:highlight w:val="none"/>
              </w:rPr>
              <w:t>(北京时间)</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 xml:space="preserve"> </w:t>
            </w:r>
          </w:p>
          <w:p>
            <w:pPr>
              <w:ind w:left="945" w:hanging="945" w:hangingChars="450"/>
              <w:rPr>
                <w:rFonts w:hint="default" w:ascii="宋体" w:hAnsi="宋体" w:cs="宋体"/>
                <w:color w:val="000000" w:themeColor="text1"/>
                <w:w w:val="90"/>
                <w:kern w:val="44"/>
                <w:szCs w:val="21"/>
                <w:highlight w:val="none"/>
                <w:lang w:val="en-US"/>
                <w14:textFill>
                  <w14:solidFill>
                    <w14:schemeClr w14:val="tx1"/>
                  </w14:solidFill>
                </w14:textFill>
              </w:rPr>
            </w:pPr>
            <w:r>
              <w:rPr>
                <w:rFonts w:hint="eastAsia" w:ascii="宋体" w:hAnsi="宋体" w:cs="宋体"/>
                <w:color w:val="auto"/>
                <w:szCs w:val="21"/>
                <w:highlight w:val="none"/>
              </w:rPr>
              <w:t>开标地点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川投（泸州）燃气发电有限公司</w:t>
            </w:r>
            <w:r>
              <w:rPr>
                <w:rFonts w:hint="eastAsia" w:ascii="宋体" w:hAnsi="宋体" w:cs="宋体"/>
                <w:color w:val="auto"/>
                <w:szCs w:val="21"/>
                <w:highlight w:val="none"/>
                <w:lang w:val="en-US" w:eastAsia="zh-CN"/>
              </w:rPr>
              <w:t>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81"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报价</w:t>
            </w:r>
          </w:p>
        </w:tc>
        <w:tc>
          <w:tcPr>
            <w:tcW w:w="7139"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不高于¥100,000元（含税金额）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6"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评选方法及标准</w:t>
            </w:r>
          </w:p>
        </w:tc>
        <w:tc>
          <w:tcPr>
            <w:tcW w:w="71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综合评估法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6"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71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同</w:t>
            </w:r>
            <w:r>
              <w:rPr>
                <w:rFonts w:hint="eastAsia" w:ascii="宋体" w:hAnsi="宋体" w:cs="宋体"/>
                <w:color w:val="000000" w:themeColor="text1"/>
                <w:szCs w:val="21"/>
                <w:highlight w:val="none"/>
                <w14:textFill>
                  <w14:solidFill>
                    <w14:schemeClr w14:val="tx1"/>
                  </w14:solidFill>
                </w14:textFill>
              </w:rPr>
              <w:t>比选保证金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02"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分包</w:t>
            </w:r>
          </w:p>
        </w:tc>
        <w:tc>
          <w:tcPr>
            <w:tcW w:w="71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w:t>
            </w:r>
            <w:r>
              <w:rPr>
                <w:rFonts w:hint="eastAsia" w:ascii="宋体" w:hAnsi="宋体" w:cs="宋体"/>
                <w:color w:val="000000" w:themeColor="text1"/>
                <w:szCs w:val="21"/>
                <w:highlight w:val="none"/>
                <w:lang w:val="en-US" w:eastAsia="zh-CN"/>
                <w14:textFill>
                  <w14:solidFill>
                    <w14:schemeClr w14:val="tx1"/>
                  </w14:solidFill>
                </w14:textFill>
              </w:rPr>
              <w:t>允许分包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70"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21</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比选人联系人及</w:t>
            </w:r>
          </w:p>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c>
          <w:tcPr>
            <w:tcW w:w="7139"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彭先生</w:t>
            </w:r>
            <w:r>
              <w:rPr>
                <w:rFonts w:hint="eastAsia" w:ascii="宋体" w:hAnsi="宋体" w:cs="宋体"/>
                <w:color w:val="000000" w:themeColor="text1"/>
                <w:szCs w:val="21"/>
                <w:highlight w:val="none"/>
                <w14:textFill>
                  <w14:solidFill>
                    <w14:schemeClr w14:val="tx1"/>
                  </w14:solidFill>
                </w14:textFill>
              </w:rPr>
              <w:t>，0830-3628</w:t>
            </w:r>
            <w:r>
              <w:rPr>
                <w:rFonts w:hint="eastAsia" w:ascii="宋体" w:hAnsi="宋体" w:cs="宋体"/>
                <w:color w:val="000000" w:themeColor="text1"/>
                <w:szCs w:val="21"/>
                <w:highlight w:val="none"/>
                <w:lang w:val="en-US" w:eastAsia="zh-CN"/>
                <w14:textFill>
                  <w14:solidFill>
                    <w14:schemeClr w14:val="tx1"/>
                  </w14:solidFill>
                </w14:textFill>
              </w:rPr>
              <w:t>191</w:t>
            </w:r>
          </w:p>
        </w:tc>
      </w:tr>
    </w:tbl>
    <w:p>
      <w:pPr>
        <w:jc w:val="center"/>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br w:type="page"/>
      </w:r>
      <w:r>
        <w:rPr>
          <w:rFonts w:hint="eastAsia" w:ascii="宋体" w:hAnsi="宋体" w:cs="宋体"/>
          <w:b/>
          <w:color w:val="000000" w:themeColor="text1"/>
          <w:sz w:val="30"/>
          <w:szCs w:val="30"/>
          <w:highlight w:val="none"/>
          <w14:textFill>
            <w14:solidFill>
              <w14:schemeClr w14:val="tx1"/>
            </w14:solidFill>
          </w14:textFill>
        </w:rPr>
        <w:t>第</w:t>
      </w:r>
      <w:r>
        <w:rPr>
          <w:rFonts w:hint="eastAsia" w:ascii="宋体" w:hAnsi="宋体" w:cs="宋体"/>
          <w:b/>
          <w:color w:val="000000" w:themeColor="text1"/>
          <w:sz w:val="30"/>
          <w:szCs w:val="30"/>
          <w:highlight w:val="none"/>
          <w:lang w:val="en-US" w:eastAsia="zh-CN"/>
          <w14:textFill>
            <w14:solidFill>
              <w14:schemeClr w14:val="tx1"/>
            </w14:solidFill>
          </w14:textFill>
        </w:rPr>
        <w:t>三</w:t>
      </w:r>
      <w:r>
        <w:rPr>
          <w:rFonts w:hint="eastAsia" w:ascii="宋体" w:hAnsi="宋体" w:cs="宋体"/>
          <w:b/>
          <w:color w:val="000000" w:themeColor="text1"/>
          <w:sz w:val="30"/>
          <w:szCs w:val="30"/>
          <w:highlight w:val="none"/>
          <w14:textFill>
            <w14:solidFill>
              <w14:schemeClr w14:val="tx1"/>
            </w14:solidFill>
          </w14:textFill>
        </w:rPr>
        <w:t>章 商务部分</w:t>
      </w:r>
    </w:p>
    <w:p>
      <w:pPr>
        <w:pStyle w:val="2"/>
        <w:rPr>
          <w:color w:val="000000" w:themeColor="text1"/>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before="164" w:beforeLines="50" w:after="0" w:line="360" w:lineRule="auto"/>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1．定  义</w:t>
      </w:r>
    </w:p>
    <w:p>
      <w:pPr>
        <w:tabs>
          <w:tab w:val="left" w:pos="756"/>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 项目：</w:t>
      </w:r>
      <w:r>
        <w:rPr>
          <w:rFonts w:hint="eastAsia" w:ascii="宋体" w:hAnsi="宋体" w:cs="宋体"/>
          <w:color w:val="000000" w:themeColor="text1"/>
          <w:sz w:val="24"/>
          <w:highlight w:val="none"/>
          <w:lang w:eastAsia="zh-CN"/>
          <w14:textFill>
            <w14:solidFill>
              <w14:schemeClr w14:val="tx1"/>
            </w14:solidFill>
          </w14:textFill>
        </w:rPr>
        <w:t>天然气管线工程行洪论证与河势稳定评价服务</w:t>
      </w:r>
      <w:r>
        <w:rPr>
          <w:rFonts w:hint="eastAsia" w:ascii="宋体" w:hAnsi="宋体" w:cs="宋体"/>
          <w:color w:val="000000" w:themeColor="text1"/>
          <w:kern w:val="24"/>
          <w:sz w:val="24"/>
          <w:highlight w:val="none"/>
          <w:lang w:val="zh-CN"/>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24"/>
          <w:sz w:val="24"/>
          <w:highlight w:val="none"/>
          <w:lang w:val="zh-CN"/>
          <w14:textFill>
            <w14:solidFill>
              <w14:schemeClr w14:val="tx1"/>
            </w14:solidFill>
          </w14:textFill>
        </w:rPr>
        <w:t>1.2比选人</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川投（</w:t>
      </w:r>
      <w:r>
        <w:rPr>
          <w:rFonts w:hint="eastAsia" w:ascii="宋体" w:hAnsi="宋体" w:eastAsia="宋体" w:cs="宋体"/>
          <w:color w:val="000000" w:themeColor="text1"/>
          <w:sz w:val="24"/>
          <w:highlight w:val="none"/>
          <w:lang w:eastAsia="zh-CN"/>
          <w14:textFill>
            <w14:solidFill>
              <w14:schemeClr w14:val="tx1"/>
            </w14:solidFill>
          </w14:textFill>
        </w:rPr>
        <w:t>泸州）</w:t>
      </w:r>
      <w:r>
        <w:rPr>
          <w:rFonts w:hint="eastAsia" w:ascii="宋体" w:hAnsi="宋体" w:eastAsia="宋体" w:cs="宋体"/>
          <w:color w:val="000000" w:themeColor="text1"/>
          <w:sz w:val="24"/>
          <w:highlight w:val="none"/>
          <w:lang w:val="en-US" w:eastAsia="zh-CN"/>
          <w14:textFill>
            <w14:solidFill>
              <w14:schemeClr w14:val="tx1"/>
            </w14:solidFill>
          </w14:textFill>
        </w:rPr>
        <w:t>燃气发电</w:t>
      </w:r>
      <w:r>
        <w:rPr>
          <w:rFonts w:hint="eastAsia" w:ascii="宋体" w:hAnsi="宋体" w:eastAsia="宋体" w:cs="宋体"/>
          <w:color w:val="000000" w:themeColor="text1"/>
          <w:sz w:val="24"/>
          <w:highlight w:val="none"/>
          <w:lang w:eastAsia="zh-CN"/>
          <w14:textFill>
            <w14:solidFill>
              <w14:schemeClr w14:val="tx1"/>
            </w14:solidFill>
          </w14:textFill>
        </w:rPr>
        <w:t>有限公司</w:t>
      </w:r>
      <w:r>
        <w:rPr>
          <w:rFonts w:hint="eastAsia" w:ascii="宋体" w:hAnsi="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合同</w:t>
      </w:r>
      <w:r>
        <w:rPr>
          <w:rFonts w:hint="eastAsia" w:ascii="宋体" w:hAnsi="宋体" w:cs="宋体"/>
          <w:color w:val="000000" w:themeColor="text1"/>
          <w:sz w:val="24"/>
          <w:highlight w:val="none"/>
          <w:lang w:val="en-US" w:eastAsia="zh-CN"/>
          <w14:textFill>
            <w14:solidFill>
              <w14:schemeClr w14:val="tx1"/>
            </w14:solidFill>
          </w14:textFill>
        </w:rPr>
        <w:t>履行</w:t>
      </w:r>
      <w:r>
        <w:rPr>
          <w:rFonts w:hint="eastAsia" w:ascii="宋体" w:hAnsi="宋体" w:cs="宋体"/>
          <w:color w:val="000000" w:themeColor="text1"/>
          <w:sz w:val="24"/>
          <w:highlight w:val="none"/>
          <w14:textFill>
            <w14:solidFill>
              <w14:schemeClr w14:val="tx1"/>
            </w14:solidFill>
          </w14:textFill>
        </w:rPr>
        <w:t>阶段称为甲方。</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1.3比选申请人：参加比选的法人或其他组织</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中选</w:t>
      </w:r>
      <w:r>
        <w:rPr>
          <w:rFonts w:hint="eastAsia" w:ascii="宋体" w:hAnsi="宋体" w:cs="宋体"/>
          <w:color w:val="000000" w:themeColor="text1"/>
          <w:sz w:val="24"/>
          <w:highlight w:val="none"/>
          <w:lang w:val="en-US" w:eastAsia="zh-CN"/>
          <w14:textFill>
            <w14:solidFill>
              <w14:schemeClr w14:val="tx1"/>
            </w14:solidFill>
          </w14:textFill>
        </w:rPr>
        <w:t>后</w:t>
      </w:r>
      <w:r>
        <w:rPr>
          <w:rFonts w:hint="eastAsia" w:ascii="宋体" w:hAnsi="宋体" w:cs="宋体"/>
          <w:color w:val="000000" w:themeColor="text1"/>
          <w:sz w:val="24"/>
          <w:highlight w:val="none"/>
          <w14:textFill>
            <w14:solidFill>
              <w14:schemeClr w14:val="tx1"/>
            </w14:solidFill>
          </w14:textFill>
        </w:rPr>
        <w:t>合同</w:t>
      </w:r>
      <w:r>
        <w:rPr>
          <w:rFonts w:hint="eastAsia" w:ascii="宋体" w:hAnsi="宋体" w:cs="宋体"/>
          <w:color w:val="000000" w:themeColor="text1"/>
          <w:sz w:val="24"/>
          <w:highlight w:val="none"/>
          <w:lang w:val="en-US" w:eastAsia="zh-CN"/>
          <w14:textFill>
            <w14:solidFill>
              <w14:schemeClr w14:val="tx1"/>
            </w14:solidFill>
          </w14:textFill>
        </w:rPr>
        <w:t>履行</w:t>
      </w:r>
      <w:r>
        <w:rPr>
          <w:rFonts w:hint="eastAsia" w:ascii="宋体" w:hAnsi="宋体" w:cs="宋体"/>
          <w:color w:val="000000" w:themeColor="text1"/>
          <w:sz w:val="24"/>
          <w:highlight w:val="none"/>
          <w14:textFill>
            <w14:solidFill>
              <w14:schemeClr w14:val="tx1"/>
            </w14:solidFill>
          </w14:textFill>
        </w:rPr>
        <w:t>阶段称为乙方。</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1.4中选人：被授予合同的比选申请人。</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w:t>
      </w:r>
      <w:r>
        <w:rPr>
          <w:rFonts w:hint="eastAsia" w:ascii="宋体" w:hAnsi="宋体" w:cs="宋体"/>
          <w:color w:val="000000" w:themeColor="text1"/>
          <w:sz w:val="24"/>
          <w:highlight w:val="none"/>
          <w:lang w:val="en-US" w:eastAsia="zh-CN"/>
          <w14:textFill>
            <w14:solidFill>
              <w14:schemeClr w14:val="tx1"/>
            </w14:solidFill>
          </w14:textFill>
        </w:rPr>
        <w:t>招标</w:t>
      </w:r>
      <w:r>
        <w:rPr>
          <w:rFonts w:hint="eastAsia" w:ascii="宋体" w:hAnsi="宋体" w:cs="宋体"/>
          <w:color w:val="000000" w:themeColor="text1"/>
          <w:sz w:val="24"/>
          <w:highlight w:val="none"/>
          <w14:textFill>
            <w14:solidFill>
              <w14:schemeClr w14:val="tx1"/>
            </w14:solidFill>
          </w14:textFill>
        </w:rPr>
        <w:t>方式：比选。</w:t>
      </w:r>
    </w:p>
    <w:p>
      <w:pPr>
        <w:numPr>
          <w:ilvl w:val="-1"/>
          <w:numId w:val="0"/>
        </w:num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2.比选</w:t>
      </w:r>
      <w:r>
        <w:rPr>
          <w:rFonts w:hint="eastAsia" w:ascii="宋体" w:hAnsi="宋体" w:cs="宋体"/>
          <w:b/>
          <w:color w:val="000000" w:themeColor="text1"/>
          <w:sz w:val="24"/>
          <w:highlight w:val="none"/>
          <w14:textFill>
            <w14:solidFill>
              <w14:schemeClr w14:val="tx1"/>
            </w14:solidFill>
          </w14:textFill>
        </w:rPr>
        <w:t>范围</w:t>
      </w:r>
    </w:p>
    <w:p>
      <w:pPr>
        <w:tabs>
          <w:tab w:val="left" w:pos="756"/>
        </w:tabs>
        <w:snapToGrid w:val="0"/>
        <w:spacing w:line="360" w:lineRule="auto"/>
        <w:rPr>
          <w:rFonts w:hint="eastAsia" w:ascii="宋体" w:hAnsi="宋体" w:eastAsia="宋体"/>
          <w:b/>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详见第二章 比选技术部分</w:t>
      </w:r>
      <w:r>
        <w:rPr>
          <w:rFonts w:hint="eastAsia" w:ascii="宋体" w:hAnsi="宋体"/>
          <w:color w:val="000000" w:themeColor="text1"/>
          <w:sz w:val="24"/>
          <w:highlight w:val="none"/>
          <w:lang w:eastAsia="zh-CN"/>
          <w14:textFill>
            <w14:solidFill>
              <w14:schemeClr w14:val="tx1"/>
            </w14:solidFill>
          </w14:textFill>
        </w:rPr>
        <w:t>。</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 比选申请人文件的编制</w:t>
      </w:r>
    </w:p>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3.1比选申请人文件商务部分应提供以下内容：</w:t>
      </w:r>
    </w:p>
    <w:p>
      <w:pPr>
        <w:spacing w:line="360" w:lineRule="auto"/>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3.1.1比选申请人承诺函</w:t>
      </w:r>
    </w:p>
    <w:p>
      <w:pPr>
        <w:pStyle w:val="28"/>
        <w:spacing w:line="360" w:lineRule="auto"/>
        <w:rPr>
          <w:rFonts w:ascii="宋体" w:hAnsi="宋体" w:cs="宋体"/>
          <w:color w:val="000000" w:themeColor="text1"/>
          <w:sz w:val="24"/>
          <w:highlight w:val="none"/>
          <w14:textFill>
            <w14:solidFill>
              <w14:schemeClr w14:val="tx1"/>
            </w14:solidFill>
          </w14:textFill>
        </w:rPr>
      </w:pPr>
      <w:r>
        <w:rPr>
          <w:rFonts w:hint="eastAsia" w:hAnsi="宋体" w:cs="宋体"/>
          <w:b/>
          <w:bCs/>
          <w:color w:val="000000" w:themeColor="text1"/>
          <w:kern w:val="2"/>
          <w:highlight w:val="none"/>
          <w14:textFill>
            <w14:solidFill>
              <w14:schemeClr w14:val="tx1"/>
            </w14:solidFill>
          </w14:textFill>
        </w:rPr>
        <w:t>比选申请人承诺函</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致: </w:t>
      </w:r>
      <w:r>
        <w:rPr>
          <w:rFonts w:hint="eastAsia" w:ascii="宋体" w:hAnsi="宋体" w:eastAsia="宋体" w:cs="宋体"/>
          <w:color w:val="000000" w:themeColor="text1"/>
          <w:sz w:val="24"/>
          <w:highlight w:val="none"/>
          <w:u w:val="single"/>
          <w:lang w:val="en-US" w:eastAsia="zh-CN"/>
          <w14:textFill>
            <w14:solidFill>
              <w14:schemeClr w14:val="tx1"/>
            </w14:solidFill>
          </w14:textFill>
        </w:rPr>
        <w:t>川投（</w:t>
      </w:r>
      <w:r>
        <w:rPr>
          <w:rFonts w:hint="eastAsia" w:ascii="宋体" w:hAnsi="宋体" w:eastAsia="宋体" w:cs="宋体"/>
          <w:color w:val="000000" w:themeColor="text1"/>
          <w:sz w:val="24"/>
          <w:highlight w:val="none"/>
          <w:u w:val="single"/>
          <w:lang w:eastAsia="zh-CN"/>
          <w14:textFill>
            <w14:solidFill>
              <w14:schemeClr w14:val="tx1"/>
            </w14:solidFill>
          </w14:textFill>
        </w:rPr>
        <w:t>泸州）</w:t>
      </w:r>
      <w:r>
        <w:rPr>
          <w:rFonts w:hint="eastAsia" w:ascii="宋体" w:hAnsi="宋体" w:eastAsia="宋体" w:cs="宋体"/>
          <w:color w:val="000000" w:themeColor="text1"/>
          <w:sz w:val="24"/>
          <w:highlight w:val="none"/>
          <w:u w:val="single"/>
          <w:lang w:val="en-US" w:eastAsia="zh-CN"/>
          <w14:textFill>
            <w14:solidFill>
              <w14:schemeClr w14:val="tx1"/>
            </w14:solidFill>
          </w14:textFill>
        </w:rPr>
        <w:t>燃气发电</w:t>
      </w:r>
      <w:r>
        <w:rPr>
          <w:rFonts w:hint="eastAsia" w:ascii="宋体" w:hAnsi="宋体" w:eastAsia="宋体" w:cs="宋体"/>
          <w:color w:val="000000" w:themeColor="text1"/>
          <w:sz w:val="24"/>
          <w:highlight w:val="none"/>
          <w:u w:val="single"/>
          <w:lang w:eastAsia="zh-CN"/>
          <w14:textFill>
            <w14:solidFill>
              <w14:schemeClr w14:val="tx1"/>
            </w14:solidFill>
          </w14:textFill>
        </w:rPr>
        <w:t>有限公司</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很荣幸能参与</w:t>
      </w:r>
      <w:r>
        <w:rPr>
          <w:rFonts w:hint="eastAsia" w:ascii="宋体" w:hAnsi="宋体" w:cs="宋体"/>
          <w:color w:val="000000" w:themeColor="text1"/>
          <w:sz w:val="24"/>
          <w:highlight w:val="none"/>
          <w:u w:val="single"/>
          <w:lang w:eastAsia="zh-CN"/>
          <w14:textFill>
            <w14:solidFill>
              <w14:schemeClr w14:val="tx1"/>
            </w14:solidFill>
          </w14:textFill>
        </w:rPr>
        <w:t>天然气管线工程行洪论证与河势稳定评价服务</w:t>
      </w:r>
      <w:r>
        <w:rPr>
          <w:rFonts w:hint="eastAsia" w:ascii="宋体" w:hAnsi="宋体" w:cs="宋体"/>
          <w:color w:val="000000" w:themeColor="text1"/>
          <w:sz w:val="24"/>
          <w:highlight w:val="none"/>
          <w:u w:val="single"/>
          <w14:textFill>
            <w14:solidFill>
              <w14:schemeClr w14:val="tx1"/>
            </w14:solidFill>
          </w14:textFill>
        </w:rPr>
        <w:t>项目</w:t>
      </w:r>
      <w:r>
        <w:rPr>
          <w:rFonts w:hint="eastAsia" w:ascii="宋体" w:hAnsi="宋体" w:cs="宋体"/>
          <w:color w:val="000000" w:themeColor="text1"/>
          <w:sz w:val="24"/>
          <w:highlight w:val="none"/>
          <w14:textFill>
            <w14:solidFill>
              <w14:schemeClr w14:val="tx1"/>
            </w14:solidFill>
          </w14:textFill>
        </w:rPr>
        <w:t>的比选</w:t>
      </w:r>
      <w:r>
        <w:rPr>
          <w:rFonts w:hint="eastAsia" w:ascii="宋体" w:hAnsi="宋体" w:cs="宋体"/>
          <w:color w:val="000000" w:themeColor="text1"/>
          <w:sz w:val="24"/>
          <w:highlight w:val="none"/>
          <w:lang w:eastAsia="zh-CN"/>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我代表</w:t>
      </w:r>
      <w:r>
        <w:rPr>
          <w:rFonts w:hint="eastAsia" w:ascii="宋体" w:hAnsi="宋体" w:cs="宋体"/>
          <w:color w:val="000000" w:themeColor="text1"/>
          <w:sz w:val="24"/>
          <w:highlight w:val="none"/>
          <w:u w:val="single"/>
          <w14:textFill>
            <w14:solidFill>
              <w14:schemeClr w14:val="tx1"/>
            </w14:solidFill>
          </w14:textFill>
        </w:rPr>
        <w:t xml:space="preserve">    （比选申请人名称）    </w:t>
      </w:r>
      <w:r>
        <w:rPr>
          <w:rFonts w:hint="eastAsia" w:ascii="宋体" w:hAnsi="宋体" w:cs="宋体"/>
          <w:color w:val="000000" w:themeColor="text1"/>
          <w:sz w:val="24"/>
          <w:highlight w:val="none"/>
          <w14:textFill>
            <w14:solidFill>
              <w14:schemeClr w14:val="tx1"/>
            </w14:solidFill>
          </w14:textFill>
        </w:rPr>
        <w:t>,承诺</w:t>
      </w:r>
      <w:r>
        <w:rPr>
          <w:rFonts w:hint="eastAsia" w:ascii="宋体" w:hAnsi="宋体" w:cs="宋体"/>
          <w:color w:val="000000" w:themeColor="text1"/>
          <w:sz w:val="24"/>
          <w:highlight w:val="none"/>
          <w:lang w:val="en-US" w:eastAsia="zh-CN"/>
          <w14:textFill>
            <w14:solidFill>
              <w14:schemeClr w14:val="tx1"/>
            </w14:solidFill>
          </w14:textFill>
        </w:rPr>
        <w:t>如下</w:t>
      </w:r>
      <w:r>
        <w:rPr>
          <w:rFonts w:hint="eastAsia" w:ascii="宋体" w:hAnsi="宋体" w:cs="宋体"/>
          <w:color w:val="000000" w:themeColor="text1"/>
          <w:sz w:val="24"/>
          <w:highlight w:val="none"/>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w:t>
      </w:r>
      <w:r>
        <w:rPr>
          <w:rFonts w:hint="eastAsia" w:ascii="宋体" w:hAnsi="宋体" w:cs="宋体"/>
          <w:color w:val="000000" w:themeColor="text1"/>
          <w:sz w:val="24"/>
          <w:highlight w:val="none"/>
          <w:lang w:val="en-US" w:eastAsia="zh-CN"/>
          <w14:textFill>
            <w14:solidFill>
              <w14:schemeClr w14:val="tx1"/>
            </w14:solidFill>
          </w14:textFill>
        </w:rPr>
        <w:t>我方</w:t>
      </w:r>
      <w:r>
        <w:rPr>
          <w:rFonts w:hint="eastAsia" w:ascii="宋体" w:hAnsi="宋体" w:cs="宋体"/>
          <w:color w:val="000000" w:themeColor="text1"/>
          <w:sz w:val="24"/>
          <w:highlight w:val="none"/>
          <w14:textFill>
            <w14:solidFill>
              <w14:schemeClr w14:val="tx1"/>
            </w14:solidFill>
          </w14:textFill>
        </w:rPr>
        <w:t>完全理解和接受比选文件的一切规定和要求。</w:t>
      </w:r>
    </w:p>
    <w:p>
      <w:pPr>
        <w:pStyle w:val="2"/>
        <w:spacing w:line="360" w:lineRule="auto"/>
        <w:ind w:firstLine="48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default" w:ascii="宋体" w:hAnsi="宋体" w:cs="宋体"/>
          <w:color w:val="000000" w:themeColor="text1"/>
          <w:sz w:val="24"/>
          <w:szCs w:val="24"/>
          <w:highlight w:val="none"/>
          <w14:textFill>
            <w14:solidFill>
              <w14:schemeClr w14:val="tx1"/>
            </w14:solidFill>
          </w14:textFill>
        </w:rPr>
        <w:t>具有</w:t>
      </w:r>
      <w:r>
        <w:rPr>
          <w:rFonts w:hint="eastAsia" w:ascii="宋体" w:hAnsi="宋体" w:cs="宋体"/>
          <w:color w:val="000000" w:themeColor="text1"/>
          <w:sz w:val="24"/>
          <w:szCs w:val="24"/>
          <w:highlight w:val="none"/>
          <w:lang w:val="en-US" w:eastAsia="zh-CN"/>
          <w14:textFill>
            <w14:solidFill>
              <w14:schemeClr w14:val="tx1"/>
            </w14:solidFill>
          </w14:textFill>
        </w:rPr>
        <w:t>与比选项目</w:t>
      </w:r>
      <w:r>
        <w:rPr>
          <w:rFonts w:hint="default" w:ascii="宋体" w:hAnsi="宋体" w:cs="宋体"/>
          <w:color w:val="000000" w:themeColor="text1"/>
          <w:sz w:val="24"/>
          <w:szCs w:val="24"/>
          <w:highlight w:val="none"/>
          <w14:textFill>
            <w14:solidFill>
              <w14:schemeClr w14:val="tx1"/>
            </w14:solidFill>
          </w14:textFill>
        </w:rPr>
        <w:t>相</w:t>
      </w:r>
      <w:r>
        <w:rPr>
          <w:rFonts w:hint="eastAsia" w:ascii="宋体" w:hAnsi="宋体" w:cs="宋体"/>
          <w:color w:val="000000" w:themeColor="text1"/>
          <w:sz w:val="24"/>
          <w:szCs w:val="24"/>
          <w:highlight w:val="none"/>
          <w:lang w:val="en-US" w:eastAsia="zh-CN"/>
          <w14:textFill>
            <w14:solidFill>
              <w14:schemeClr w14:val="tx1"/>
            </w14:solidFill>
          </w14:textFill>
        </w:rPr>
        <w:t>适应的</w:t>
      </w:r>
      <w:r>
        <w:rPr>
          <w:rFonts w:hint="default" w:ascii="宋体" w:hAnsi="宋体" w:cs="宋体"/>
          <w:color w:val="000000" w:themeColor="text1"/>
          <w:sz w:val="24"/>
          <w:szCs w:val="24"/>
          <w:highlight w:val="none"/>
          <w14:textFill>
            <w14:solidFill>
              <w14:schemeClr w14:val="tx1"/>
            </w14:solidFill>
          </w14:textFill>
        </w:rPr>
        <w:t>资质</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资格、人员、业绩。</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.若中标，我方将按照比选文件的规定与比选人签订合同，严格履行合同义务。</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 xml:space="preserve"> 4</w:t>
      </w:r>
      <w:r>
        <w:rPr>
          <w:rFonts w:hint="eastAsia" w:ascii="宋体" w:hAnsi="宋体" w:cs="宋体"/>
          <w:color w:val="000000" w:themeColor="text1"/>
          <w:sz w:val="24"/>
          <w:highlight w:val="none"/>
          <w14:textFill>
            <w14:solidFill>
              <w14:schemeClr w14:val="tx1"/>
            </w14:solidFill>
          </w14:textFill>
        </w:rPr>
        <w:t>.比选过程中，我方若违规，贵方按</w:t>
      </w:r>
      <w:r>
        <w:rPr>
          <w:rFonts w:hint="eastAsia" w:ascii="宋体" w:hAnsi="宋体" w:cs="宋体"/>
          <w:color w:val="000000" w:themeColor="text1"/>
          <w:sz w:val="24"/>
          <w:highlight w:val="none"/>
          <w:lang w:val="en-US" w:eastAsia="zh-CN"/>
          <w14:textFill>
            <w14:solidFill>
              <w14:schemeClr w14:val="tx1"/>
            </w14:solidFill>
          </w14:textFill>
        </w:rPr>
        <w:t>相关</w:t>
      </w:r>
      <w:r>
        <w:rPr>
          <w:rFonts w:hint="eastAsia" w:ascii="宋体" w:hAnsi="宋体" w:cs="宋体"/>
          <w:color w:val="000000" w:themeColor="text1"/>
          <w:sz w:val="24"/>
          <w:highlight w:val="none"/>
          <w14:textFill>
            <w14:solidFill>
              <w14:schemeClr w14:val="tx1"/>
            </w14:solidFill>
          </w14:textFill>
        </w:rPr>
        <w:t>规定给予</w:t>
      </w:r>
      <w:r>
        <w:rPr>
          <w:rFonts w:hint="eastAsia" w:ascii="宋体" w:hAnsi="宋体" w:cs="宋体"/>
          <w:color w:val="000000" w:themeColor="text1"/>
          <w:sz w:val="24"/>
          <w:highlight w:val="none"/>
          <w:lang w:val="en-US" w:eastAsia="zh-CN"/>
          <w14:textFill>
            <w14:solidFill>
              <w14:schemeClr w14:val="tx1"/>
            </w14:solidFill>
          </w14:textFill>
        </w:rPr>
        <w:t>惩罚</w:t>
      </w:r>
      <w:r>
        <w:rPr>
          <w:rFonts w:hint="eastAsia" w:ascii="宋体" w:hAnsi="宋体" w:cs="宋体"/>
          <w:color w:val="000000" w:themeColor="text1"/>
          <w:sz w:val="24"/>
          <w:highlight w:val="none"/>
          <w14:textFill>
            <w14:solidFill>
              <w14:schemeClr w14:val="tx1"/>
            </w14:solidFill>
          </w14:textFill>
        </w:rPr>
        <w:t>，我方完全接受。</w:t>
      </w:r>
    </w:p>
    <w:p>
      <w:pPr>
        <w:tabs>
          <w:tab w:val="left" w:pos="36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我方理解不一定最低价中标，不要求</w:t>
      </w:r>
      <w:r>
        <w:rPr>
          <w:rFonts w:hint="eastAsia" w:ascii="宋体" w:hAnsi="宋体" w:cs="宋体"/>
          <w:color w:val="000000" w:themeColor="text1"/>
          <w:sz w:val="24"/>
          <w:highlight w:val="none"/>
          <w:lang w:val="en-US" w:eastAsia="zh-CN"/>
          <w14:textFill>
            <w14:solidFill>
              <w14:schemeClr w14:val="tx1"/>
            </w14:solidFill>
          </w14:textFill>
        </w:rPr>
        <w:t>比选人</w:t>
      </w:r>
      <w:r>
        <w:rPr>
          <w:rFonts w:hint="eastAsia" w:ascii="宋体" w:hAnsi="宋体" w:cs="宋体"/>
          <w:color w:val="000000" w:themeColor="text1"/>
          <w:sz w:val="24"/>
          <w:highlight w:val="none"/>
          <w14:textFill>
            <w14:solidFill>
              <w14:schemeClr w14:val="tx1"/>
            </w14:solidFill>
          </w14:textFill>
        </w:rPr>
        <w:t>对未中标</w:t>
      </w:r>
      <w:r>
        <w:rPr>
          <w:rFonts w:hint="eastAsia" w:ascii="宋体" w:hAnsi="宋体" w:cs="宋体"/>
          <w:color w:val="000000" w:themeColor="text1"/>
          <w:sz w:val="24"/>
          <w:highlight w:val="none"/>
          <w:lang w:val="en-US" w:eastAsia="zh-CN"/>
          <w14:textFill>
            <w14:solidFill>
              <w14:schemeClr w14:val="tx1"/>
            </w14:solidFill>
          </w14:textFill>
        </w:rPr>
        <w:t>原因</w:t>
      </w:r>
      <w:r>
        <w:rPr>
          <w:rFonts w:hint="eastAsia" w:ascii="宋体" w:hAnsi="宋体" w:cs="宋体"/>
          <w:color w:val="000000" w:themeColor="text1"/>
          <w:sz w:val="24"/>
          <w:highlight w:val="none"/>
          <w14:textFill>
            <w14:solidFill>
              <w14:schemeClr w14:val="tx1"/>
            </w14:solidFill>
          </w14:textFill>
        </w:rPr>
        <w:t>做出任何解释。</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比选申请人代表</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签字</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全称，</w:t>
      </w:r>
      <w:r>
        <w:rPr>
          <w:rFonts w:hint="eastAsia" w:ascii="宋体" w:hAnsi="宋体" w:cs="宋体"/>
          <w:color w:val="000000" w:themeColor="text1"/>
          <w:sz w:val="24"/>
          <w:highlight w:val="none"/>
          <w14:textFill>
            <w14:solidFill>
              <w14:schemeClr w14:val="tx1"/>
            </w14:solidFill>
          </w14:textFill>
        </w:rPr>
        <w:t>公章</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3.1.2比选申请人法定代表人授权书</w:t>
      </w:r>
    </w:p>
    <w:p>
      <w:pPr>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比选申请人法定代表人授权书</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致: </w:t>
      </w:r>
      <w:r>
        <w:rPr>
          <w:rFonts w:hint="eastAsia" w:ascii="宋体" w:hAnsi="宋体" w:eastAsia="宋体" w:cs="宋体"/>
          <w:color w:val="000000" w:themeColor="text1"/>
          <w:sz w:val="24"/>
          <w:highlight w:val="none"/>
          <w:u w:val="single"/>
          <w:lang w:val="en-US" w:eastAsia="zh-CN"/>
          <w14:textFill>
            <w14:solidFill>
              <w14:schemeClr w14:val="tx1"/>
            </w14:solidFill>
          </w14:textFill>
        </w:rPr>
        <w:t>川投（</w:t>
      </w:r>
      <w:r>
        <w:rPr>
          <w:rFonts w:hint="eastAsia" w:ascii="宋体" w:hAnsi="宋体" w:eastAsia="宋体" w:cs="宋体"/>
          <w:color w:val="000000" w:themeColor="text1"/>
          <w:sz w:val="24"/>
          <w:highlight w:val="none"/>
          <w:u w:val="single"/>
          <w:lang w:eastAsia="zh-CN"/>
          <w14:textFill>
            <w14:solidFill>
              <w14:schemeClr w14:val="tx1"/>
            </w14:solidFill>
          </w14:textFill>
        </w:rPr>
        <w:t>泸州）</w:t>
      </w:r>
      <w:r>
        <w:rPr>
          <w:rFonts w:hint="eastAsia" w:ascii="宋体" w:hAnsi="宋体" w:eastAsia="宋体" w:cs="宋体"/>
          <w:color w:val="000000" w:themeColor="text1"/>
          <w:sz w:val="24"/>
          <w:highlight w:val="none"/>
          <w:u w:val="single"/>
          <w:lang w:val="en-US" w:eastAsia="zh-CN"/>
          <w14:textFill>
            <w14:solidFill>
              <w14:schemeClr w14:val="tx1"/>
            </w14:solidFill>
          </w14:textFill>
        </w:rPr>
        <w:t>燃气发电</w:t>
      </w:r>
      <w:r>
        <w:rPr>
          <w:rFonts w:hint="eastAsia" w:ascii="宋体" w:hAnsi="宋体" w:eastAsia="宋体" w:cs="宋体"/>
          <w:color w:val="000000" w:themeColor="text1"/>
          <w:sz w:val="24"/>
          <w:highlight w:val="none"/>
          <w:u w:val="single"/>
          <w:lang w:eastAsia="zh-CN"/>
          <w14:textFill>
            <w14:solidFill>
              <w14:schemeClr w14:val="tx1"/>
            </w14:solidFill>
          </w14:textFill>
        </w:rPr>
        <w:t>有限公司</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（授权人姓名）</w:t>
      </w:r>
      <w:r>
        <w:rPr>
          <w:rFonts w:hint="eastAsia" w:ascii="宋体" w:hAnsi="宋体" w:cs="宋体"/>
          <w:color w:val="000000" w:themeColor="text1"/>
          <w:sz w:val="24"/>
          <w:highlight w:val="none"/>
          <w14:textFill>
            <w14:solidFill>
              <w14:schemeClr w14:val="tx1"/>
            </w14:solidFill>
          </w14:textFill>
        </w:rPr>
        <w:t>授权</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（被授权人姓名）</w:t>
      </w:r>
      <w:r>
        <w:rPr>
          <w:rFonts w:hint="eastAsia" w:ascii="宋体" w:hAnsi="宋体" w:cs="宋体"/>
          <w:color w:val="000000" w:themeColor="text1"/>
          <w:sz w:val="24"/>
          <w:highlight w:val="none"/>
          <w14:textFill>
            <w14:solidFill>
              <w14:schemeClr w14:val="tx1"/>
            </w14:solidFill>
          </w14:textFill>
        </w:rPr>
        <w:t>代表我</w:t>
      </w:r>
      <w:r>
        <w:rPr>
          <w:rFonts w:hint="eastAsia" w:ascii="宋体" w:hAnsi="宋体" w:cs="宋体"/>
          <w:color w:val="000000" w:themeColor="text1"/>
          <w:sz w:val="24"/>
          <w:highlight w:val="none"/>
          <w:lang w:val="en-US" w:eastAsia="zh-CN"/>
          <w14:textFill>
            <w14:solidFill>
              <w14:schemeClr w14:val="tx1"/>
            </w14:solidFill>
          </w14:textFill>
        </w:rPr>
        <w:t>方</w:t>
      </w:r>
      <w:r>
        <w:rPr>
          <w:rFonts w:hint="eastAsia" w:ascii="宋体" w:hAnsi="宋体" w:cs="宋体"/>
          <w:color w:val="000000" w:themeColor="text1"/>
          <w:sz w:val="24"/>
          <w:highlight w:val="none"/>
          <w14:textFill>
            <w14:solidFill>
              <w14:schemeClr w14:val="tx1"/>
            </w14:solidFill>
          </w14:textFill>
        </w:rPr>
        <w:t>全权办理</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w:t>
      </w:r>
      <w:r>
        <w:rPr>
          <w:rFonts w:hint="eastAsia" w:ascii="宋体" w:hAnsi="宋体" w:cs="宋体"/>
          <w:color w:val="000000" w:themeColor="text1"/>
          <w:sz w:val="24"/>
          <w:highlight w:val="none"/>
          <w:lang w:val="en-US" w:eastAsia="zh-CN"/>
          <w14:textFill>
            <w14:solidFill>
              <w14:schemeClr w14:val="tx1"/>
            </w14:solidFill>
          </w14:textFill>
        </w:rPr>
        <w:t>名称）</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lang w:val="en-US" w:eastAsia="zh-CN"/>
          <w14:textFill>
            <w14:solidFill>
              <w14:schemeClr w14:val="tx1"/>
            </w14:solidFill>
          </w14:textFill>
        </w:rPr>
        <w:t>投</w:t>
      </w:r>
      <w:r>
        <w:rPr>
          <w:rFonts w:hint="eastAsia" w:ascii="宋体" w:hAnsi="宋体" w:cs="宋体"/>
          <w:color w:val="000000" w:themeColor="text1"/>
          <w:sz w:val="24"/>
          <w:highlight w:val="none"/>
          <w14:textFill>
            <w14:solidFill>
              <w14:schemeClr w14:val="tx1"/>
            </w14:solidFill>
          </w14:textFill>
        </w:rPr>
        <w:t>选工作。</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w:t>
      </w:r>
      <w:r>
        <w:rPr>
          <w:rFonts w:hint="eastAsia" w:ascii="宋体" w:hAnsi="宋体" w:cs="宋体"/>
          <w:color w:val="000000" w:themeColor="text1"/>
          <w:sz w:val="24"/>
          <w:highlight w:val="none"/>
          <w:lang w:val="en-US" w:eastAsia="zh-CN"/>
          <w14:textFill>
            <w14:solidFill>
              <w14:schemeClr w14:val="tx1"/>
            </w14:solidFill>
          </w14:textFill>
        </w:rPr>
        <w:t>方</w:t>
      </w:r>
      <w:r>
        <w:rPr>
          <w:rFonts w:hint="eastAsia" w:ascii="宋体" w:hAnsi="宋体" w:cs="宋体"/>
          <w:color w:val="000000" w:themeColor="text1"/>
          <w:sz w:val="24"/>
          <w:highlight w:val="none"/>
          <w14:textFill>
            <w14:solidFill>
              <w14:schemeClr w14:val="tx1"/>
            </w14:solidFill>
          </w14:textFill>
        </w:rPr>
        <w:t>对被授权人的签名负全部责任。</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被授权人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签名</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授权人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签名</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职务:</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职务:</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全称，</w:t>
      </w:r>
      <w:r>
        <w:rPr>
          <w:rFonts w:hint="eastAsia" w:ascii="宋体" w:hAnsi="宋体" w:cs="宋体"/>
          <w:color w:val="000000" w:themeColor="text1"/>
          <w:sz w:val="24"/>
          <w:highlight w:val="none"/>
          <w14:textFill>
            <w14:solidFill>
              <w14:schemeClr w14:val="tx1"/>
            </w14:solidFill>
          </w14:textFill>
        </w:rPr>
        <w:t>公章</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pStyle w:val="28"/>
        <w:adjustRightInd/>
        <w:spacing w:line="360" w:lineRule="auto"/>
        <w:jc w:val="both"/>
        <w:rPr>
          <w:rFonts w:hAnsi="宋体" w:cs="宋体"/>
          <w:color w:val="000000" w:themeColor="text1"/>
          <w:kern w:val="2"/>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3.1.3</w:t>
      </w:r>
      <w:r>
        <w:rPr>
          <w:rFonts w:hint="eastAsia" w:hAnsi="宋体" w:cs="宋体"/>
          <w:color w:val="000000" w:themeColor="text1"/>
          <w:kern w:val="2"/>
          <w:highlight w:val="none"/>
          <w14:textFill>
            <w14:solidFill>
              <w14:schemeClr w14:val="tx1"/>
            </w14:solidFill>
          </w14:textFill>
        </w:rPr>
        <w:t>比选申请人关于资格的声明函</w:t>
      </w:r>
    </w:p>
    <w:p>
      <w:pPr>
        <w:pStyle w:val="28"/>
        <w:rPr>
          <w:rFonts w:ascii="宋体" w:hAnsi="宋体" w:cs="宋体"/>
          <w:color w:val="000000" w:themeColor="text1"/>
          <w:sz w:val="24"/>
          <w:highlight w:val="none"/>
          <w14:textFill>
            <w14:solidFill>
              <w14:schemeClr w14:val="tx1"/>
            </w14:solidFill>
          </w14:textFill>
        </w:rPr>
      </w:pPr>
      <w:r>
        <w:rPr>
          <w:rFonts w:hint="eastAsia" w:hAnsi="宋体" w:cs="宋体"/>
          <w:b/>
          <w:bCs/>
          <w:color w:val="000000" w:themeColor="text1"/>
          <w:kern w:val="2"/>
          <w:szCs w:val="24"/>
          <w:highlight w:val="none"/>
          <w14:textFill>
            <w14:solidFill>
              <w14:schemeClr w14:val="tx1"/>
            </w14:solidFill>
          </w14:textFill>
        </w:rPr>
        <w:t>比选申请人关于资格的声明</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致: </w:t>
      </w:r>
      <w:r>
        <w:rPr>
          <w:rFonts w:hint="eastAsia" w:ascii="宋体" w:hAnsi="宋体" w:eastAsia="宋体" w:cs="宋体"/>
          <w:color w:val="000000" w:themeColor="text1"/>
          <w:sz w:val="24"/>
          <w:highlight w:val="none"/>
          <w:u w:val="single"/>
          <w:lang w:val="en-US" w:eastAsia="zh-CN"/>
          <w14:textFill>
            <w14:solidFill>
              <w14:schemeClr w14:val="tx1"/>
            </w14:solidFill>
          </w14:textFill>
        </w:rPr>
        <w:t>川投（</w:t>
      </w:r>
      <w:r>
        <w:rPr>
          <w:rFonts w:hint="eastAsia" w:ascii="宋体" w:hAnsi="宋体" w:eastAsia="宋体" w:cs="宋体"/>
          <w:color w:val="000000" w:themeColor="text1"/>
          <w:sz w:val="24"/>
          <w:highlight w:val="none"/>
          <w:u w:val="single"/>
          <w:lang w:eastAsia="zh-CN"/>
          <w14:textFill>
            <w14:solidFill>
              <w14:schemeClr w14:val="tx1"/>
            </w14:solidFill>
          </w14:textFill>
        </w:rPr>
        <w:t>泸州）</w:t>
      </w:r>
      <w:r>
        <w:rPr>
          <w:rFonts w:hint="eastAsia" w:ascii="宋体" w:hAnsi="宋体" w:eastAsia="宋体" w:cs="宋体"/>
          <w:color w:val="000000" w:themeColor="text1"/>
          <w:sz w:val="24"/>
          <w:highlight w:val="none"/>
          <w:u w:val="single"/>
          <w:lang w:val="en-US" w:eastAsia="zh-CN"/>
          <w14:textFill>
            <w14:solidFill>
              <w14:schemeClr w14:val="tx1"/>
            </w14:solidFill>
          </w14:textFill>
        </w:rPr>
        <w:t>燃气发电</w:t>
      </w:r>
      <w:r>
        <w:rPr>
          <w:rFonts w:hint="eastAsia" w:ascii="宋体" w:hAnsi="宋体" w:eastAsia="宋体" w:cs="宋体"/>
          <w:color w:val="000000" w:themeColor="text1"/>
          <w:sz w:val="24"/>
          <w:highlight w:val="none"/>
          <w:u w:val="single"/>
          <w:lang w:eastAsia="zh-CN"/>
          <w14:textFill>
            <w14:solidFill>
              <w14:schemeClr w14:val="tx1"/>
            </w14:solidFill>
          </w14:textFill>
        </w:rPr>
        <w:t>有限公司</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我公司愿意</w:t>
      </w:r>
      <w:r>
        <w:rPr>
          <w:rFonts w:hint="eastAsia" w:ascii="宋体" w:hAnsi="宋体" w:cs="宋体"/>
          <w:color w:val="000000" w:themeColor="text1"/>
          <w:sz w:val="24"/>
          <w:highlight w:val="none"/>
          <w:lang w:val="en-US" w:eastAsia="zh-CN"/>
          <w14:textFill>
            <w14:solidFill>
              <w14:schemeClr w14:val="tx1"/>
            </w14:solidFill>
          </w14:textFill>
        </w:rPr>
        <w:t>参加</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项目</w:t>
      </w:r>
      <w:r>
        <w:rPr>
          <w:rFonts w:hint="eastAsia" w:ascii="宋体" w:hAnsi="宋体" w:cs="宋体"/>
          <w:color w:val="000000" w:themeColor="text1"/>
          <w:sz w:val="24"/>
          <w:highlight w:val="none"/>
          <w:u w:val="single"/>
          <w:lang w:val="en-US" w:eastAsia="zh-CN"/>
          <w14:textFill>
            <w14:solidFill>
              <w14:schemeClr w14:val="tx1"/>
            </w14:solidFill>
          </w14:textFill>
        </w:rPr>
        <w:t>名称）</w:t>
      </w:r>
      <w:r>
        <w:rPr>
          <w:rFonts w:hint="eastAsia" w:ascii="宋体" w:hAnsi="宋体" w:cs="宋体"/>
          <w:color w:val="000000" w:themeColor="text1"/>
          <w:sz w:val="24"/>
          <w:highlight w:val="none"/>
          <w:lang w:val="en-US" w:eastAsia="zh-CN"/>
          <w14:textFill>
            <w14:solidFill>
              <w14:schemeClr w14:val="tx1"/>
            </w14:solidFill>
          </w14:textFill>
        </w:rPr>
        <w:t>的投</w:t>
      </w:r>
      <w:r>
        <w:rPr>
          <w:rFonts w:hint="eastAsia" w:ascii="宋体" w:hAnsi="宋体" w:cs="宋体"/>
          <w:color w:val="000000" w:themeColor="text1"/>
          <w:sz w:val="24"/>
          <w:highlight w:val="none"/>
          <w14:textFill>
            <w14:solidFill>
              <w14:schemeClr w14:val="tx1"/>
            </w14:solidFill>
          </w14:textFill>
        </w:rPr>
        <w:t>选。比选</w:t>
      </w:r>
      <w:r>
        <w:rPr>
          <w:rFonts w:hint="eastAsia" w:ascii="宋体" w:hAnsi="宋体" w:cs="宋体"/>
          <w:color w:val="000000" w:themeColor="text1"/>
          <w:sz w:val="24"/>
          <w:highlight w:val="none"/>
          <w:lang w:val="en-US" w:eastAsia="zh-CN"/>
          <w14:textFill>
            <w14:solidFill>
              <w14:schemeClr w14:val="tx1"/>
            </w14:solidFill>
          </w14:textFill>
        </w:rPr>
        <w:t>申请</w:t>
      </w:r>
      <w:r>
        <w:rPr>
          <w:rFonts w:hint="eastAsia" w:ascii="宋体" w:hAnsi="宋体" w:cs="宋体"/>
          <w:color w:val="000000" w:themeColor="text1"/>
          <w:sz w:val="24"/>
          <w:highlight w:val="none"/>
          <w14:textFill>
            <w14:solidFill>
              <w14:schemeClr w14:val="tx1"/>
            </w14:solidFill>
          </w14:textFill>
        </w:rPr>
        <w:t>文件中所有关于比选申请人资格文件</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陈述均真实、准确。若有违背，我公司愿为由此而产生的一切后果负责。</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特此声明！</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比选申请人代表</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签字</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全称，</w:t>
      </w:r>
      <w:r>
        <w:rPr>
          <w:rFonts w:hint="eastAsia" w:ascii="宋体" w:hAnsi="宋体" w:cs="宋体"/>
          <w:color w:val="000000" w:themeColor="text1"/>
          <w:sz w:val="24"/>
          <w:highlight w:val="none"/>
          <w14:textFill>
            <w14:solidFill>
              <w14:schemeClr w14:val="tx1"/>
            </w14:solidFill>
          </w14:textFill>
        </w:rPr>
        <w:t>公章</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3.1.4</w:t>
      </w:r>
      <w:r>
        <w:rPr>
          <w:rFonts w:hint="eastAsia" w:ascii="宋体" w:hAnsi="宋体" w:cs="宋体"/>
          <w:bCs/>
          <w:color w:val="000000" w:themeColor="text1"/>
          <w:sz w:val="24"/>
          <w:highlight w:val="none"/>
          <w14:textFill>
            <w14:solidFill>
              <w14:schemeClr w14:val="tx1"/>
            </w14:solidFill>
          </w14:textFill>
        </w:rPr>
        <w:t>比选申请人资格证明文件</w:t>
      </w:r>
    </w:p>
    <w:p>
      <w:pPr>
        <w:jc w:val="center"/>
        <w:rPr>
          <w:rFonts w:ascii="宋体" w:hAnsi="宋体" w:cs="宋体"/>
          <w:b/>
          <w:bCs/>
          <w:color w:val="000000" w:themeColor="text1"/>
          <w:sz w:val="24"/>
          <w:highlight w:val="none"/>
          <w14:textFill>
            <w14:solidFill>
              <w14:schemeClr w14:val="tx1"/>
            </w14:solidFill>
          </w14:textFill>
        </w:rPr>
      </w:pPr>
    </w:p>
    <w:p>
      <w:pPr>
        <w:jc w:val="center"/>
        <w:rPr>
          <w:rFonts w:ascii="宋体" w:hAnsi="宋体" w:cs="宋体"/>
          <w:b/>
          <w:bCs/>
          <w:color w:val="auto"/>
          <w:sz w:val="24"/>
          <w:highlight w:val="none"/>
        </w:rPr>
      </w:pPr>
      <w:r>
        <w:rPr>
          <w:rFonts w:hint="eastAsia" w:ascii="宋体" w:hAnsi="宋体" w:cs="宋体"/>
          <w:b/>
          <w:bCs/>
          <w:color w:val="auto"/>
          <w:sz w:val="24"/>
          <w:highlight w:val="none"/>
        </w:rPr>
        <w:t>比选申请人资格</w:t>
      </w:r>
      <w:r>
        <w:rPr>
          <w:rFonts w:hint="eastAsia" w:ascii="宋体" w:hAnsi="宋体" w:cs="宋体"/>
          <w:b/>
          <w:bCs/>
          <w:color w:val="auto"/>
          <w:sz w:val="24"/>
          <w:highlight w:val="none"/>
          <w:lang w:val="en-US" w:eastAsia="zh-CN"/>
        </w:rPr>
        <w:t>证明</w:t>
      </w:r>
      <w:r>
        <w:rPr>
          <w:rFonts w:hint="eastAsia" w:ascii="宋体" w:hAnsi="宋体" w:cs="宋体"/>
          <w:b/>
          <w:bCs/>
          <w:color w:val="auto"/>
          <w:sz w:val="24"/>
          <w:highlight w:val="none"/>
        </w:rPr>
        <w:t>文件</w:t>
      </w:r>
    </w:p>
    <w:p>
      <w:pPr>
        <w:numPr>
          <w:ilvl w:val="-1"/>
          <w:numId w:val="0"/>
        </w:numPr>
        <w:tabs>
          <w:tab w:val="left" w:pos="360"/>
          <w:tab w:val="left" w:pos="945"/>
        </w:tabs>
        <w:spacing w:line="360" w:lineRule="auto"/>
        <w:ind w:left="420" w:firstLine="0"/>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比选申请人为</w:t>
      </w:r>
      <w:r>
        <w:rPr>
          <w:rFonts w:hint="eastAsia" w:asciiTheme="minorEastAsia" w:hAnsiTheme="minorEastAsia" w:eastAsiaTheme="minorEastAsia" w:cstheme="minorEastAsia"/>
          <w:b w:val="0"/>
          <w:bCs w:val="0"/>
          <w:kern w:val="2"/>
          <w:sz w:val="24"/>
          <w:szCs w:val="24"/>
          <w:highlight w:val="none"/>
          <w:lang w:val="en-US" w:eastAsia="zh-CN" w:bidi="ar-SA"/>
        </w:rPr>
        <w:t>法人或非法人组织</w:t>
      </w:r>
      <w:r>
        <w:rPr>
          <w:rFonts w:hint="eastAsia" w:ascii="宋体" w:hAnsi="宋体" w:cs="宋体"/>
          <w:color w:val="auto"/>
          <w:sz w:val="24"/>
          <w:highlight w:val="none"/>
        </w:rPr>
        <w:t>并存续，且未被市场监管部门列入经营异常名录；</w:t>
      </w:r>
    </w:p>
    <w:p>
      <w:pPr>
        <w:numPr>
          <w:ilvl w:val="-1"/>
          <w:numId w:val="0"/>
        </w:numPr>
        <w:tabs>
          <w:tab w:val="left" w:pos="360"/>
          <w:tab w:val="left" w:pos="945"/>
        </w:tabs>
        <w:spacing w:line="360" w:lineRule="auto"/>
        <w:ind w:left="420" w:firstLine="0"/>
        <w:rPr>
          <w:rFonts w:ascii="宋体" w:hAnsi="宋体" w:cs="宋体"/>
          <w:color w:val="auto"/>
          <w:sz w:val="24"/>
          <w:highlight w:val="none"/>
        </w:rPr>
      </w:pPr>
      <w:r>
        <w:rPr>
          <w:rFonts w:hint="eastAsia" w:ascii="宋体" w:hAnsi="宋体" w:cs="宋体"/>
          <w:color w:val="auto"/>
          <w:sz w:val="24"/>
          <w:highlight w:val="none"/>
          <w:lang w:val="en-US" w:eastAsia="zh-CN"/>
        </w:rPr>
        <w:t>2.营业执照、</w:t>
      </w:r>
      <w:r>
        <w:rPr>
          <w:rFonts w:hint="eastAsia" w:ascii="宋体" w:hAnsi="宋体" w:cs="宋体"/>
          <w:color w:val="auto"/>
          <w:sz w:val="24"/>
          <w:highlight w:val="none"/>
        </w:rPr>
        <w:t>资质证书</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业绩证明文件</w:t>
      </w:r>
      <w:r>
        <w:rPr>
          <w:rFonts w:hint="eastAsia" w:ascii="宋体" w:hAnsi="宋体" w:cs="宋体"/>
          <w:color w:val="auto"/>
          <w:sz w:val="24"/>
          <w:highlight w:val="none"/>
        </w:rPr>
        <w:t>等；</w:t>
      </w:r>
    </w:p>
    <w:p>
      <w:pPr>
        <w:spacing w:line="360" w:lineRule="auto"/>
        <w:rPr>
          <w:rFonts w:hint="default" w:ascii="宋体" w:hAnsi="宋体" w:eastAsia="宋体" w:cs="宋体"/>
          <w:color w:val="auto"/>
          <w:sz w:val="24"/>
          <w:highlight w:val="none"/>
          <w:lang w:val="en-US" w:eastAsia="zh-CN"/>
        </w:rPr>
      </w:pPr>
      <w:r>
        <w:rPr>
          <w:rFonts w:hint="eastAsia" w:ascii="宋体" w:hAnsi="宋体" w:cs="宋体"/>
          <w:b/>
          <w:color w:val="auto"/>
          <w:sz w:val="24"/>
          <w:highlight w:val="none"/>
        </w:rPr>
        <w:t>3.2比选申请文件技术部分应</w:t>
      </w:r>
      <w:r>
        <w:rPr>
          <w:rFonts w:hint="eastAsia" w:ascii="宋体" w:hAnsi="宋体" w:cs="宋体"/>
          <w:b/>
          <w:color w:val="auto"/>
          <w:sz w:val="24"/>
          <w:highlight w:val="none"/>
          <w:lang w:val="en-US" w:eastAsia="zh-CN"/>
        </w:rPr>
        <w:t>根据技术规范书要求进行编制。</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3.3.比选报价</w:t>
      </w:r>
    </w:p>
    <w:p>
      <w:pPr>
        <w:spacing w:line="360" w:lineRule="auto"/>
        <w:ind w:firstLine="482" w:firstLineChars="200"/>
        <w:rPr>
          <w:rFonts w:ascii="宋体" w:hAnsi="宋体" w:cs="宋体"/>
          <w:b/>
          <w:bCs/>
          <w:color w:val="auto"/>
          <w:sz w:val="24"/>
          <w:highlight w:val="none"/>
        </w:rPr>
      </w:pPr>
    </w:p>
    <w:tbl>
      <w:tblPr>
        <w:tblStyle w:val="22"/>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9"/>
        <w:gridCol w:w="3066"/>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4159" w:type="dxa"/>
            <w:noWrap w:val="0"/>
            <w:vAlign w:val="center"/>
          </w:tcPr>
          <w:p>
            <w:pPr>
              <w:jc w:val="center"/>
              <w:rPr>
                <w:highlight w:val="none"/>
              </w:rPr>
            </w:pPr>
          </w:p>
          <w:p>
            <w:pPr>
              <w:jc w:val="center"/>
              <w:rPr>
                <w:rFonts w:hint="eastAsia" w:ascii="Times New Roman" w:hAnsi="Times New Roman" w:eastAsia="宋体" w:cs="Times New Roman"/>
                <w:b/>
                <w:kern w:val="2"/>
                <w:sz w:val="21"/>
                <w:szCs w:val="24"/>
                <w:highlight w:val="none"/>
                <w:lang w:val="en-US" w:eastAsia="zh-CN" w:bidi="ar-SA"/>
              </w:rPr>
            </w:pPr>
            <w:r>
              <w:rPr>
                <w:rFonts w:hint="eastAsia"/>
                <w:b/>
                <w:highlight w:val="none"/>
              </w:rPr>
              <w:t>项目名称</w:t>
            </w:r>
          </w:p>
        </w:tc>
        <w:tc>
          <w:tcPr>
            <w:tcW w:w="3066" w:type="dxa"/>
            <w:noWrap w:val="0"/>
            <w:vAlign w:val="center"/>
          </w:tcPr>
          <w:p>
            <w:pPr>
              <w:jc w:val="center"/>
              <w:rPr>
                <w:rFonts w:hint="eastAsia"/>
                <w:b/>
                <w:highlight w:val="none"/>
              </w:rPr>
            </w:pPr>
          </w:p>
          <w:p>
            <w:pPr>
              <w:jc w:val="center"/>
              <w:rPr>
                <w:rFonts w:hint="default" w:eastAsia="宋体"/>
                <w:b/>
                <w:highlight w:val="none"/>
                <w:lang w:val="en-US" w:eastAsia="zh-CN"/>
              </w:rPr>
            </w:pPr>
            <w:r>
              <w:rPr>
                <w:rFonts w:hint="eastAsia"/>
                <w:b/>
                <w:highlight w:val="none"/>
              </w:rPr>
              <w:t>报价</w:t>
            </w:r>
            <w:r>
              <w:rPr>
                <w:rFonts w:hint="eastAsia"/>
                <w:b/>
                <w:highlight w:val="none"/>
                <w:lang w:eastAsia="zh-CN"/>
              </w:rPr>
              <w:t>（</w:t>
            </w:r>
            <w:r>
              <w:rPr>
                <w:rFonts w:hint="eastAsia"/>
                <w:b/>
                <w:highlight w:val="none"/>
                <w:lang w:val="en-US" w:eastAsia="zh-CN"/>
              </w:rPr>
              <w:t>元）</w:t>
            </w:r>
          </w:p>
          <w:p>
            <w:pPr>
              <w:jc w:val="center"/>
              <w:rPr>
                <w:rFonts w:hint="eastAsia" w:ascii="Times New Roman" w:hAnsi="Times New Roman" w:eastAsia="宋体" w:cs="Times New Roman"/>
                <w:b/>
                <w:kern w:val="2"/>
                <w:sz w:val="21"/>
                <w:szCs w:val="24"/>
                <w:highlight w:val="none"/>
                <w:lang w:val="en-US" w:eastAsia="zh-CN" w:bidi="ar-SA"/>
              </w:rPr>
            </w:pPr>
          </w:p>
        </w:tc>
        <w:tc>
          <w:tcPr>
            <w:tcW w:w="2074" w:type="dxa"/>
            <w:noWrap w:val="0"/>
            <w:vAlign w:val="center"/>
          </w:tcPr>
          <w:p>
            <w:pPr>
              <w:jc w:val="center"/>
              <w:rPr>
                <w:highlight w:val="none"/>
              </w:rPr>
            </w:pPr>
          </w:p>
          <w:p>
            <w:pPr>
              <w:jc w:val="center"/>
              <w:rPr>
                <w:rFonts w:hint="eastAsia" w:ascii="Times New Roman" w:hAnsi="Times New Roman" w:eastAsia="宋体" w:cs="Times New Roman"/>
                <w:b/>
                <w:kern w:val="2"/>
                <w:sz w:val="21"/>
                <w:szCs w:val="24"/>
                <w:highlight w:val="none"/>
                <w:lang w:val="en-US" w:eastAsia="zh-CN" w:bidi="ar-SA"/>
              </w:rPr>
            </w:pPr>
            <w:r>
              <w:rPr>
                <w:rFonts w:hint="eastAsia"/>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4159" w:type="dxa"/>
            <w:noWrap w:val="0"/>
            <w:vAlign w:val="center"/>
          </w:tcPr>
          <w:p>
            <w:pPr>
              <w:jc w:val="center"/>
              <w:rPr>
                <w:rFonts w:hint="default" w:ascii="Times New Roman" w:hAnsi="Times New Roman" w:eastAsia="宋体" w:cs="Times New Roman"/>
                <w:b/>
                <w:kern w:val="2"/>
                <w:sz w:val="21"/>
                <w:szCs w:val="24"/>
                <w:highlight w:val="none"/>
                <w:lang w:val="en-US" w:eastAsia="zh-CN" w:bidi="ar-SA"/>
              </w:rPr>
            </w:pPr>
            <w:r>
              <w:rPr>
                <w:rFonts w:hint="eastAsia"/>
                <w:b/>
                <w:highlight w:val="none"/>
                <w:lang w:val="en-US" w:eastAsia="zh-CN"/>
              </w:rPr>
              <w:t>川投泸州天然气发电项目天然气管线工程行洪论证与河势稳定评价服务</w:t>
            </w:r>
          </w:p>
        </w:tc>
        <w:tc>
          <w:tcPr>
            <w:tcW w:w="3066" w:type="dxa"/>
            <w:noWrap w:val="0"/>
            <w:vAlign w:val="center"/>
          </w:tcPr>
          <w:p>
            <w:pPr>
              <w:jc w:val="center"/>
              <w:rPr>
                <w:rFonts w:hint="default" w:ascii="Times New Roman" w:hAnsi="Times New Roman" w:eastAsia="宋体" w:cs="Times New Roman"/>
                <w:b/>
                <w:kern w:val="2"/>
                <w:sz w:val="21"/>
                <w:szCs w:val="24"/>
                <w:highlight w:val="none"/>
                <w:lang w:val="en-US" w:eastAsia="zh-CN" w:bidi="ar-SA"/>
              </w:rPr>
            </w:pPr>
          </w:p>
        </w:tc>
        <w:tc>
          <w:tcPr>
            <w:tcW w:w="2074" w:type="dxa"/>
            <w:noWrap w:val="0"/>
            <w:vAlign w:val="center"/>
          </w:tcPr>
          <w:p>
            <w:pPr>
              <w:jc w:val="center"/>
              <w:rPr>
                <w:rFonts w:hint="default" w:ascii="Times New Roman" w:hAnsi="Times New Roman" w:eastAsia="宋体" w:cs="Times New Roman"/>
                <w:b/>
                <w:kern w:val="2"/>
                <w:sz w:val="21"/>
                <w:szCs w:val="24"/>
                <w:highlight w:val="none"/>
                <w:lang w:val="en-US" w:eastAsia="zh-CN" w:bidi="ar-SA"/>
              </w:rPr>
            </w:pPr>
            <w:r>
              <w:rPr>
                <w:rFonts w:hint="eastAsia"/>
                <w:b/>
                <w:highlight w:val="none"/>
                <w:lang w:val="en-US" w:eastAsia="zh-CN"/>
              </w:rPr>
              <w:t>含</w:t>
            </w:r>
            <w:r>
              <w:rPr>
                <w:rFonts w:hint="eastAsia"/>
                <w:b/>
                <w:highlight w:val="none"/>
              </w:rPr>
              <w:t>税率：</w:t>
            </w:r>
            <w:r>
              <w:rPr>
                <w:rFonts w:hint="eastAsia"/>
                <w:b/>
                <w:highlight w:val="none"/>
                <w:u w:val="single"/>
              </w:rPr>
              <w:t xml:space="preserve">     </w:t>
            </w:r>
            <w:r>
              <w:rPr>
                <w:rFonts w:hint="eastAsia"/>
                <w:b/>
                <w:highlight w:val="none"/>
                <w:u w:val="none"/>
                <w:lang w:val="en-US" w:eastAsia="zh-CN"/>
              </w:rPr>
              <w:t>%</w:t>
            </w:r>
          </w:p>
        </w:tc>
      </w:tr>
    </w:tbl>
    <w:p>
      <w:pPr>
        <w:spacing w:line="360" w:lineRule="auto"/>
        <w:jc w:val="both"/>
        <w:rPr>
          <w:rFonts w:hint="eastAsia" w:ascii="宋体" w:hAnsi="宋体" w:cs="宋体"/>
          <w:b w:val="0"/>
          <w:bCs/>
          <w:color w:val="000000" w:themeColor="text1"/>
          <w:sz w:val="24"/>
          <w:highlight w:val="none"/>
          <w14:textFill>
            <w14:solidFill>
              <w14:schemeClr w14:val="tx1"/>
            </w14:solidFill>
          </w14:textFill>
        </w:rPr>
      </w:pPr>
    </w:p>
    <w:p>
      <w:pPr>
        <w:spacing w:line="360" w:lineRule="auto"/>
        <w:jc w:val="both"/>
        <w:rPr>
          <w:rFonts w:hint="eastAsia" w:ascii="宋体" w:hAnsi="宋体" w:cs="宋体"/>
          <w:color w:val="auto"/>
          <w:sz w:val="24"/>
          <w:highlight w:val="none"/>
        </w:rPr>
      </w:pPr>
      <w:r>
        <w:rPr>
          <w:rFonts w:hint="eastAsia" w:ascii="宋体" w:hAnsi="宋体" w:cs="宋体"/>
          <w:b w:val="0"/>
          <w:bCs/>
          <w:color w:val="000000" w:themeColor="text1"/>
          <w:sz w:val="24"/>
          <w:highlight w:val="none"/>
          <w14:textFill>
            <w14:solidFill>
              <w14:schemeClr w14:val="tx1"/>
            </w14:solidFill>
          </w14:textFill>
        </w:rPr>
        <w:t>说明：</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报价包含完成技术规范书</w:t>
      </w:r>
      <w:r>
        <w:rPr>
          <w:rFonts w:hint="eastAsia" w:ascii="宋体" w:hAnsi="宋体" w:cs="宋体"/>
          <w:b w:val="0"/>
          <w:bCs/>
          <w:color w:val="000000" w:themeColor="text1"/>
          <w:kern w:val="2"/>
          <w:sz w:val="24"/>
          <w:szCs w:val="24"/>
          <w:highlight w:val="none"/>
          <w:lang w:val="en-US" w:eastAsia="zh-CN" w:bidi="ar-SA"/>
          <w14:textFill>
            <w14:solidFill>
              <w14:schemeClr w14:val="tx1"/>
            </w14:solidFill>
          </w14:textFill>
        </w:rPr>
        <w:t>所有</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工作内容。</w:t>
      </w:r>
    </w:p>
    <w:p>
      <w:pPr>
        <w:spacing w:line="360" w:lineRule="auto"/>
        <w:ind w:left="3238" w:leftChars="1542"/>
        <w:rPr>
          <w:rFonts w:hint="eastAsia" w:ascii="宋体" w:hAnsi="宋体" w:cs="宋体"/>
          <w:color w:val="auto"/>
          <w:sz w:val="24"/>
          <w:highlight w:val="none"/>
          <w:u w:val="single"/>
        </w:rPr>
      </w:pPr>
      <w:r>
        <w:rPr>
          <w:rFonts w:hint="eastAsia" w:ascii="宋体" w:hAnsi="宋体" w:cs="宋体"/>
          <w:color w:val="auto"/>
          <w:sz w:val="24"/>
          <w:highlight w:val="none"/>
        </w:rPr>
        <w:t>法定代表人或其授权人（签字）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spacing w:line="360" w:lineRule="auto"/>
        <w:ind w:left="3238" w:leftChars="1542"/>
        <w:rPr>
          <w:rFonts w:ascii="宋体" w:hAnsi="宋体" w:cs="宋体"/>
          <w:color w:val="auto"/>
          <w:sz w:val="24"/>
          <w:highlight w:val="none"/>
        </w:rPr>
      </w:pPr>
      <w:r>
        <w:rPr>
          <w:rFonts w:hint="eastAsia" w:ascii="宋体" w:hAnsi="宋体" w:cs="宋体"/>
          <w:color w:val="auto"/>
          <w:sz w:val="24"/>
          <w:highlight w:val="none"/>
          <w:u w:val="none"/>
          <w:lang w:val="en-US" w:eastAsia="zh-CN"/>
        </w:rPr>
        <w:t xml:space="preserve">联系电话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spacing w:line="360" w:lineRule="auto"/>
        <w:ind w:left="3238" w:leftChars="1542"/>
        <w:rPr>
          <w:rFonts w:ascii="宋体" w:hAnsi="宋体" w:cs="宋体"/>
          <w:color w:val="auto"/>
          <w:sz w:val="24"/>
          <w:highlight w:val="none"/>
        </w:rPr>
      </w:pPr>
      <w:r>
        <w:rPr>
          <w:rFonts w:hint="eastAsia" w:ascii="宋体" w:hAnsi="宋体" w:cs="宋体"/>
          <w:color w:val="auto"/>
          <w:sz w:val="24"/>
          <w:highlight w:val="none"/>
          <w:lang w:val="en-US" w:eastAsia="zh-CN"/>
        </w:rPr>
        <w:t>报价单位</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全</w:t>
      </w:r>
      <w:r>
        <w:rPr>
          <w:rFonts w:hint="eastAsia" w:ascii="宋体" w:hAnsi="宋体" w:cs="宋体"/>
          <w:color w:val="auto"/>
          <w:sz w:val="24"/>
          <w:highlight w:val="none"/>
        </w:rPr>
        <w:t>称</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公章）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p>
    <w:p>
      <w:pPr>
        <w:spacing w:line="360" w:lineRule="auto"/>
        <w:ind w:firstLine="3120" w:firstLineChars="1300"/>
        <w:rPr>
          <w:rFonts w:hint="eastAsia" w:ascii="宋体" w:hAnsi="宋体" w:cs="宋体"/>
          <w:color w:val="auto"/>
          <w:sz w:val="24"/>
          <w:highlight w:val="none"/>
          <w:u w:val="single"/>
        </w:rPr>
      </w:pPr>
      <w:r>
        <w:rPr>
          <w:rFonts w:hint="eastAsia" w:ascii="宋体" w:hAnsi="宋体" w:cs="宋体"/>
          <w:color w:val="auto"/>
          <w:sz w:val="24"/>
          <w:highlight w:val="none"/>
        </w:rPr>
        <w:t xml:space="preserve">日   </w:t>
      </w:r>
      <w:r>
        <w:rPr>
          <w:rFonts w:ascii="宋体" w:hAnsi="宋体" w:cs="宋体"/>
          <w:color w:val="auto"/>
          <w:sz w:val="24"/>
          <w:highlight w:val="none"/>
        </w:rPr>
        <w:t xml:space="preserve">          </w:t>
      </w:r>
      <w:r>
        <w:rPr>
          <w:rFonts w:hint="eastAsia" w:ascii="宋体" w:hAnsi="宋体" w:cs="宋体"/>
          <w:color w:val="auto"/>
          <w:sz w:val="24"/>
          <w:highlight w:val="none"/>
        </w:rPr>
        <w:t xml:space="preserve">期 </w:t>
      </w:r>
      <w:r>
        <w:rPr>
          <w:rFonts w:hint="eastAsia" w:ascii="宋体" w:hAnsi="宋体" w:cs="宋体"/>
          <w:color w:val="auto"/>
          <w:sz w:val="24"/>
          <w:highlight w:val="none"/>
          <w:u w:val="single"/>
        </w:rPr>
        <w:t xml:space="preserve">                          </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bookmarkStart w:id="1" w:name="_Toc230662931"/>
      <w:r>
        <w:rPr>
          <w:rFonts w:hint="eastAsia" w:ascii="宋体" w:hAnsi="宋体" w:cs="宋体"/>
          <w:b/>
          <w:color w:val="000000" w:themeColor="text1"/>
          <w:sz w:val="24"/>
          <w:highlight w:val="none"/>
          <w14:textFill>
            <w14:solidFill>
              <w14:schemeClr w14:val="tx1"/>
            </w14:solidFill>
          </w14:textFill>
        </w:rPr>
        <w:t>．</w:t>
      </w:r>
      <w:bookmarkEnd w:id="1"/>
      <w:r>
        <w:rPr>
          <w:rFonts w:hint="eastAsia" w:ascii="宋体" w:hAnsi="宋体" w:cs="宋体"/>
          <w:b/>
          <w:color w:val="000000" w:themeColor="text1"/>
          <w:sz w:val="24"/>
          <w:highlight w:val="none"/>
          <w14:textFill>
            <w14:solidFill>
              <w14:schemeClr w14:val="tx1"/>
            </w14:solidFill>
          </w14:textFill>
        </w:rPr>
        <w:t>比选申请人</w:t>
      </w:r>
      <w:r>
        <w:rPr>
          <w:rFonts w:hint="eastAsia" w:ascii="宋体" w:hAnsi="宋体" w:cs="宋体"/>
          <w:b/>
          <w:color w:val="000000" w:themeColor="text1"/>
          <w:sz w:val="24"/>
          <w:highlight w:val="none"/>
          <w:lang w:val="en-US" w:eastAsia="zh-CN"/>
          <w14:textFill>
            <w14:solidFill>
              <w14:schemeClr w14:val="tx1"/>
            </w14:solidFill>
          </w14:textFill>
        </w:rPr>
        <w:t>的资格资质业绩要求</w:t>
      </w:r>
    </w:p>
    <w:p>
      <w:pPr>
        <w:spacing w:line="360" w:lineRule="auto"/>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4.1</w:t>
      </w:r>
      <w:r>
        <w:rPr>
          <w:rFonts w:hint="eastAsia" w:ascii="宋体" w:hAnsi="宋体" w:cs="宋体"/>
          <w:color w:val="000000" w:themeColor="text1"/>
          <w:sz w:val="24"/>
          <w:highlight w:val="none"/>
          <w14:textFill>
            <w14:solidFill>
              <w14:schemeClr w14:val="tx1"/>
            </w14:solidFill>
          </w14:textFill>
        </w:rPr>
        <w:t>比选申请人为</w:t>
      </w:r>
      <w:r>
        <w:rPr>
          <w:rFonts w:hint="eastAsia" w:asciiTheme="minorEastAsia" w:hAnsiTheme="minorEastAsia" w:eastAsiaTheme="minorEastAsia" w:cstheme="minorEastAsia"/>
          <w:b w:val="0"/>
          <w:bCs w:val="0"/>
          <w:kern w:val="2"/>
          <w:sz w:val="24"/>
          <w:szCs w:val="24"/>
          <w:highlight w:val="none"/>
          <w:lang w:val="en-US" w:eastAsia="zh-CN" w:bidi="ar-SA"/>
        </w:rPr>
        <w:t>法人或非法人组织</w:t>
      </w:r>
      <w:r>
        <w:rPr>
          <w:rFonts w:hint="eastAsia" w:ascii="宋体" w:hAnsi="宋体" w:cs="宋体"/>
          <w:color w:val="000000" w:themeColor="text1"/>
          <w:sz w:val="24"/>
          <w:highlight w:val="none"/>
          <w14:textFill>
            <w14:solidFill>
              <w14:schemeClr w14:val="tx1"/>
            </w14:solidFill>
          </w14:textFill>
        </w:rPr>
        <w:t>且未被市场监管部门列入经营异常名录</w:t>
      </w:r>
      <w:r>
        <w:rPr>
          <w:rFonts w:hint="eastAsia" w:ascii="宋体" w:hAnsi="宋体" w:cs="宋体"/>
          <w:color w:val="000000" w:themeColor="text1"/>
          <w:sz w:val="24"/>
          <w:highlight w:val="none"/>
          <w:lang w:eastAsia="zh-CN"/>
          <w14:textFill>
            <w14:solidFill>
              <w14:schemeClr w14:val="tx1"/>
            </w14:solidFill>
          </w14:textFill>
        </w:rPr>
        <w:t>；</w:t>
      </w:r>
    </w:p>
    <w:p>
      <w:pPr>
        <w:numPr>
          <w:ilvl w:val="0"/>
          <w:numId w:val="0"/>
        </w:numPr>
        <w:wordWrap w:val="0"/>
        <w:topLinePunct/>
        <w:spacing w:line="360" w:lineRule="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比选申请人</w:t>
      </w:r>
      <w:r>
        <w:rPr>
          <w:rFonts w:hint="eastAsia" w:asciiTheme="minorEastAsia" w:hAnsiTheme="minorEastAsia" w:eastAsiaTheme="minorEastAsia" w:cstheme="minorEastAsia"/>
          <w:b w:val="0"/>
          <w:bCs w:val="0"/>
          <w:kern w:val="2"/>
          <w:sz w:val="24"/>
          <w:szCs w:val="24"/>
          <w:highlight w:val="none"/>
          <w:lang w:val="en-US" w:eastAsia="zh-CN" w:bidi="ar-SA"/>
        </w:rPr>
        <w:t>具有</w:t>
      </w:r>
      <w:r>
        <w:rPr>
          <w:rFonts w:hint="eastAsia"/>
          <w:sz w:val="24"/>
          <w:lang w:val="en-US" w:eastAsia="zh-CN"/>
        </w:rPr>
        <w:t>水文水资源评价乙</w:t>
      </w:r>
      <w:r>
        <w:rPr>
          <w:rFonts w:hint="eastAsia"/>
          <w:sz w:val="24"/>
        </w:rPr>
        <w:t>级</w:t>
      </w:r>
      <w:r>
        <w:rPr>
          <w:rFonts w:hint="eastAsia"/>
          <w:sz w:val="24"/>
          <w:lang w:val="en-US" w:eastAsia="zh-CN"/>
        </w:rPr>
        <w:t>及以上资质</w:t>
      </w:r>
      <w:r>
        <w:rPr>
          <w:rFonts w:hint="eastAsia" w:asciiTheme="minorEastAsia" w:hAnsiTheme="minorEastAsia" w:eastAsiaTheme="minorEastAsia" w:cstheme="minorEastAsia"/>
          <w:b w:val="0"/>
          <w:bCs w:val="0"/>
          <w:kern w:val="2"/>
          <w:sz w:val="24"/>
          <w:szCs w:val="24"/>
          <w:highlight w:val="none"/>
          <w:lang w:val="en-US" w:eastAsia="zh-CN" w:bidi="ar-SA"/>
        </w:rPr>
        <w:t>；</w:t>
      </w:r>
    </w:p>
    <w:p>
      <w:pPr>
        <w:numPr>
          <w:ilvl w:val="0"/>
          <w:numId w:val="0"/>
        </w:numPr>
        <w:wordWrap w:val="0"/>
        <w:topLinePunct/>
        <w:spacing w:line="360" w:lineRule="auto"/>
        <w:rPr>
          <w:rFonts w:hint="eastAsia" w:ascii="宋体" w:hAnsi="宋体" w:eastAsia="宋体" w:cs="Times New Roman"/>
          <w:sz w:val="24"/>
          <w:szCs w:val="24"/>
          <w:highlight w:val="none"/>
          <w:lang w:val="en-US" w:eastAsia="zh-CN"/>
        </w:rPr>
      </w:pPr>
      <w:r>
        <w:rPr>
          <w:rFonts w:hint="eastAsia" w:asciiTheme="minorEastAsia" w:hAnsiTheme="minorEastAsia" w:eastAsiaTheme="minorEastAsia" w:cstheme="minorEastAsia"/>
          <w:b w:val="0"/>
          <w:bCs w:val="0"/>
          <w:kern w:val="2"/>
          <w:sz w:val="24"/>
          <w:szCs w:val="24"/>
          <w:highlight w:val="none"/>
          <w:lang w:val="en-US" w:eastAsia="zh-CN" w:bidi="ar-SA"/>
        </w:rPr>
        <w:t>4.3</w:t>
      </w:r>
      <w:r>
        <w:rPr>
          <w:rFonts w:hint="eastAsia" w:ascii="宋体" w:hAnsi="宋体" w:cs="宋体"/>
          <w:color w:val="000000" w:themeColor="text1"/>
          <w:sz w:val="24"/>
          <w:highlight w:val="none"/>
          <w14:textFill>
            <w14:solidFill>
              <w14:schemeClr w14:val="tx1"/>
            </w14:solidFill>
          </w14:textFill>
        </w:rPr>
        <w:t>比选申请人</w:t>
      </w:r>
      <w:r>
        <w:rPr>
          <w:rFonts w:hint="eastAsia"/>
          <w:sz w:val="24"/>
          <w:lang w:val="en-US" w:eastAsia="zh-CN"/>
        </w:rPr>
        <w:t>五</w:t>
      </w:r>
      <w:r>
        <w:rPr>
          <w:rFonts w:hint="eastAsia"/>
          <w:sz w:val="24"/>
        </w:rPr>
        <w:t>年开展业绩总量不低于</w:t>
      </w:r>
      <w:r>
        <w:rPr>
          <w:rFonts w:hint="eastAsia"/>
          <w:sz w:val="24"/>
          <w:lang w:eastAsia="zh-CN"/>
        </w:rPr>
        <w:t>3</w:t>
      </w:r>
      <w:r>
        <w:rPr>
          <w:rFonts w:hint="eastAsia"/>
          <w:sz w:val="24"/>
        </w:rPr>
        <w:t>个</w:t>
      </w:r>
      <w:r>
        <w:rPr>
          <w:rFonts w:hint="eastAsia" w:asciiTheme="minorEastAsia" w:hAnsiTheme="minorEastAsia" w:eastAsiaTheme="minorEastAsia" w:cstheme="minorEastAsia"/>
          <w:b w:val="0"/>
          <w:bCs w:val="0"/>
          <w:kern w:val="2"/>
          <w:sz w:val="24"/>
          <w:szCs w:val="24"/>
          <w:highlight w:val="none"/>
          <w:lang w:val="en-US" w:eastAsia="zh-CN" w:bidi="ar-SA"/>
        </w:rPr>
        <w:t>。</w:t>
      </w:r>
    </w:p>
    <w:p>
      <w:pPr>
        <w:spacing w:line="360" w:lineRule="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4.4比选申请人报价不得高于人民币100,000（含税）。</w:t>
      </w:r>
    </w:p>
    <w:p>
      <w:pPr>
        <w:snapToGrid w:val="0"/>
        <w:spacing w:line="360" w:lineRule="auto"/>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5</w:t>
      </w:r>
      <w:r>
        <w:rPr>
          <w:rFonts w:hint="eastAsia" w:ascii="宋体" w:hAnsi="宋体" w:cs="宋体"/>
          <w:b/>
          <w:color w:val="000000" w:themeColor="text1"/>
          <w:sz w:val="24"/>
          <w:highlight w:val="none"/>
          <w:lang w:val="en-US" w:eastAsia="zh-CN"/>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比选保证金</w:t>
      </w:r>
      <w:r>
        <w:rPr>
          <w:rFonts w:hint="eastAsia" w:ascii="宋体" w:hAnsi="宋体" w:cs="宋体"/>
          <w:b/>
          <w:color w:val="000000" w:themeColor="text1"/>
          <w:sz w:val="24"/>
          <w:highlight w:val="none"/>
          <w:lang w:eastAsia="zh-CN"/>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若有</w:t>
      </w:r>
      <w:r>
        <w:rPr>
          <w:rFonts w:hint="eastAsia" w:ascii="宋体" w:hAnsi="宋体" w:cs="宋体"/>
          <w:b/>
          <w:color w:val="000000" w:themeColor="text1"/>
          <w:sz w:val="24"/>
          <w:highlight w:val="none"/>
          <w:lang w:eastAsia="zh-CN"/>
          <w14:textFill>
            <w14:solidFill>
              <w14:schemeClr w14:val="tx1"/>
            </w14:solidFill>
          </w14:textFill>
        </w:rPr>
        <w:t>）</w:t>
      </w:r>
    </w:p>
    <w:p>
      <w:pPr>
        <w:snapToGrid w:val="0"/>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比选</w:t>
      </w:r>
      <w:r>
        <w:rPr>
          <w:rFonts w:hint="eastAsia" w:ascii="宋体" w:hAnsi="宋体" w:cs="宋体"/>
          <w:color w:val="000000" w:themeColor="text1"/>
          <w:sz w:val="24"/>
          <w:highlight w:val="none"/>
          <w:lang w:eastAsia="zh-CN"/>
          <w14:textFill>
            <w14:solidFill>
              <w14:schemeClr w14:val="tx1"/>
            </w14:solidFill>
          </w14:textFill>
        </w:rPr>
        <w:t>人</w:t>
      </w:r>
      <w:r>
        <w:rPr>
          <w:rFonts w:hint="eastAsia" w:ascii="宋体" w:hAnsi="宋体" w:cs="宋体"/>
          <w:color w:val="000000" w:themeColor="text1"/>
          <w:sz w:val="24"/>
          <w:highlight w:val="none"/>
          <w14:textFill>
            <w14:solidFill>
              <w14:schemeClr w14:val="tx1"/>
            </w14:solidFill>
          </w14:textFill>
        </w:rPr>
        <w:t>在与中</w:t>
      </w:r>
      <w:r>
        <w:rPr>
          <w:rFonts w:hint="eastAsia" w:ascii="宋体" w:hAnsi="宋体" w:cs="宋体"/>
          <w:color w:val="000000" w:themeColor="text1"/>
          <w:sz w:val="24"/>
          <w:highlight w:val="none"/>
          <w:lang w:val="en-US" w:eastAsia="zh-CN"/>
          <w14:textFill>
            <w14:solidFill>
              <w14:schemeClr w14:val="tx1"/>
            </w14:solidFill>
          </w14:textFill>
        </w:rPr>
        <w:t>选</w:t>
      </w:r>
      <w:r>
        <w:rPr>
          <w:rFonts w:hint="eastAsia" w:ascii="宋体" w:hAnsi="宋体" w:cs="宋体"/>
          <w:color w:val="000000" w:themeColor="text1"/>
          <w:sz w:val="24"/>
          <w:highlight w:val="none"/>
          <w14:textFill>
            <w14:solidFill>
              <w14:schemeClr w14:val="tx1"/>
            </w14:solidFill>
          </w14:textFill>
        </w:rPr>
        <w:t>人签订合同后14日内退还未中</w:t>
      </w:r>
      <w:r>
        <w:rPr>
          <w:rFonts w:hint="eastAsia" w:ascii="宋体" w:hAnsi="宋体" w:cs="宋体"/>
          <w:color w:val="000000" w:themeColor="text1"/>
          <w:sz w:val="24"/>
          <w:highlight w:val="none"/>
          <w:lang w:val="en-US" w:eastAsia="zh-CN"/>
          <w14:textFill>
            <w14:solidFill>
              <w14:schemeClr w14:val="tx1"/>
            </w14:solidFill>
          </w14:textFill>
        </w:rPr>
        <w:t>选</w:t>
      </w:r>
      <w:r>
        <w:rPr>
          <w:rFonts w:hint="eastAsia" w:ascii="宋体" w:hAnsi="宋体" w:cs="宋体"/>
          <w:color w:val="000000" w:themeColor="text1"/>
          <w:sz w:val="24"/>
          <w:highlight w:val="none"/>
          <w14:textFill>
            <w14:solidFill>
              <w14:schemeClr w14:val="tx1"/>
            </w14:solidFill>
          </w14:textFill>
        </w:rPr>
        <w:t>人</w:t>
      </w:r>
      <w:r>
        <w:rPr>
          <w:rFonts w:hint="eastAsia" w:ascii="宋体" w:hAnsi="宋体" w:cs="宋体"/>
          <w:color w:val="000000" w:themeColor="text1"/>
          <w:sz w:val="24"/>
          <w:highlight w:val="none"/>
          <w:lang w:val="en-US" w:eastAsia="zh-CN"/>
          <w14:textFill>
            <w14:solidFill>
              <w14:schemeClr w14:val="tx1"/>
            </w14:solidFill>
          </w14:textFill>
        </w:rPr>
        <w:t>比选</w:t>
      </w:r>
      <w:r>
        <w:rPr>
          <w:rFonts w:hint="eastAsia" w:ascii="宋体" w:hAnsi="宋体" w:cs="宋体"/>
          <w:color w:val="000000" w:themeColor="text1"/>
          <w:sz w:val="24"/>
          <w:highlight w:val="none"/>
          <w:lang w:eastAsia="zh-CN"/>
          <w14:textFill>
            <w14:solidFill>
              <w14:schemeClr w14:val="tx1"/>
            </w14:solidFill>
          </w14:textFill>
        </w:rPr>
        <w:t>保证金。</w:t>
      </w:r>
    </w:p>
    <w:p>
      <w:pPr>
        <w:pStyle w:val="26"/>
        <w:ind w:left="0" w:leftChars="0" w:firstLine="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w:t>
      </w:r>
      <w:r>
        <w:rPr>
          <w:rFonts w:hint="eastAsia" w:ascii="宋体" w:hAnsi="宋体" w:cs="宋体"/>
          <w:color w:val="000000" w:themeColor="text1"/>
          <w:sz w:val="24"/>
          <w:highlight w:val="none"/>
          <w:lang w:val="en-US" w:eastAsia="zh-CN"/>
          <w14:textFill>
            <w14:solidFill>
              <w14:schemeClr w14:val="tx1"/>
            </w14:solidFill>
          </w14:textFill>
        </w:rPr>
        <w:t>通过银行转账提交投选证金的，比选申请</w:t>
      </w:r>
      <w:r>
        <w:rPr>
          <w:rFonts w:hint="eastAsia" w:ascii="宋体" w:hAnsi="宋体" w:cs="宋体"/>
          <w:color w:val="000000" w:themeColor="text1"/>
          <w:sz w:val="24"/>
          <w:highlight w:val="none"/>
          <w14:textFill>
            <w14:solidFill>
              <w14:schemeClr w14:val="tx1"/>
            </w14:solidFill>
          </w14:textFill>
        </w:rPr>
        <w:t>人</w:t>
      </w:r>
      <w:r>
        <w:rPr>
          <w:rFonts w:hint="eastAsia" w:ascii="宋体" w:hAnsi="宋体" w:cs="宋体"/>
          <w:color w:val="000000" w:themeColor="text1"/>
          <w:sz w:val="24"/>
          <w:highlight w:val="none"/>
          <w:lang w:val="en-US" w:eastAsia="zh-CN"/>
          <w14:textFill>
            <w14:solidFill>
              <w14:schemeClr w14:val="tx1"/>
            </w14:solidFill>
          </w14:textFill>
        </w:rPr>
        <w:t>须</w:t>
      </w:r>
      <w:r>
        <w:rPr>
          <w:rFonts w:hint="eastAsia" w:ascii="宋体" w:hAnsi="宋体" w:cs="宋体"/>
          <w:color w:val="000000" w:themeColor="text1"/>
          <w:sz w:val="24"/>
          <w:highlight w:val="none"/>
          <w14:textFill>
            <w14:solidFill>
              <w14:schemeClr w14:val="tx1"/>
            </w14:solidFill>
          </w14:textFill>
        </w:rPr>
        <w:t>填写</w:t>
      </w:r>
      <w:r>
        <w:rPr>
          <w:rFonts w:hint="eastAsia" w:ascii="宋体" w:hAnsi="宋体" w:cs="宋体"/>
          <w:color w:val="000000" w:themeColor="text1"/>
          <w:sz w:val="24"/>
          <w:highlight w:val="none"/>
          <w:lang w:val="en-US" w:eastAsia="zh-CN"/>
          <w14:textFill>
            <w14:solidFill>
              <w14:schemeClr w14:val="tx1"/>
            </w14:solidFill>
          </w14:textFill>
        </w:rPr>
        <w:t>附表并与比选申请文件单独递交</w:t>
      </w:r>
      <w:r>
        <w:rPr>
          <w:rFonts w:hint="eastAsia" w:ascii="宋体" w:hAnsi="宋体" w:cs="宋体"/>
          <w:color w:val="000000" w:themeColor="text1"/>
          <w:sz w:val="24"/>
          <w:highlight w:val="none"/>
          <w14:textFill>
            <w14:solidFill>
              <w14:schemeClr w14:val="tx1"/>
            </w14:solidFill>
          </w14:textFill>
        </w:rPr>
        <w:t>。</w:t>
      </w:r>
    </w:p>
    <w:p>
      <w:pPr>
        <w:pStyle w:val="26"/>
        <w:ind w:left="0" w:leftChars="0" w:firstLine="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5.2提交保函投比选证金的，比选申请人须准确</w:t>
      </w:r>
      <w:r>
        <w:rPr>
          <w:rFonts w:hint="eastAsia" w:ascii="宋体" w:hAnsi="宋体" w:cs="宋体"/>
          <w:color w:val="000000" w:themeColor="text1"/>
          <w:sz w:val="24"/>
          <w:highlight w:val="none"/>
          <w14:textFill>
            <w14:solidFill>
              <w14:schemeClr w14:val="tx1"/>
            </w14:solidFill>
          </w14:textFill>
        </w:rPr>
        <w:t>填写</w:t>
      </w:r>
      <w:r>
        <w:rPr>
          <w:rFonts w:hint="eastAsia" w:ascii="宋体" w:hAnsi="宋体" w:cs="宋体"/>
          <w:color w:val="000000" w:themeColor="text1"/>
          <w:sz w:val="24"/>
          <w:highlight w:val="none"/>
          <w:lang w:val="en-US" w:eastAsia="zh-CN"/>
          <w14:textFill>
            <w14:solidFill>
              <w14:schemeClr w14:val="tx1"/>
            </w14:solidFill>
          </w14:textFill>
        </w:rPr>
        <w:t>附表</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与比选申请文件一并递交，由比选人退还其保函原件</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附表：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4"/>
        <w:gridCol w:w="4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单位名称</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全称，盖章</w:t>
            </w:r>
            <w:r>
              <w:rPr>
                <w:rFonts w:hint="eastAsia" w:ascii="宋体" w:hAnsi="宋体" w:cs="宋体"/>
                <w:color w:val="000000" w:themeColor="text1"/>
                <w:sz w:val="24"/>
                <w:highlight w:val="none"/>
                <w:lang w:eastAsia="zh-CN"/>
                <w14:textFill>
                  <w14:solidFill>
                    <w14:schemeClr w14:val="tx1"/>
                  </w14:solidFill>
                </w14:textFill>
              </w:rPr>
              <w:t>）</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及电话</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营业（办公）</w:t>
            </w:r>
            <w:r>
              <w:rPr>
                <w:rFonts w:hint="eastAsia" w:ascii="宋体" w:hAnsi="宋体" w:cs="宋体"/>
                <w:color w:val="000000" w:themeColor="text1"/>
                <w:sz w:val="24"/>
                <w:highlight w:val="none"/>
                <w14:textFill>
                  <w14:solidFill>
                    <w14:schemeClr w14:val="tx1"/>
                  </w14:solidFill>
                </w14:textFill>
              </w:rPr>
              <w:t>地址</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w:t>
            </w:r>
            <w:r>
              <w:rPr>
                <w:rFonts w:hint="eastAsia" w:ascii="宋体" w:hAnsi="宋体" w:cs="宋体"/>
                <w:color w:val="000000" w:themeColor="text1"/>
                <w:sz w:val="24"/>
                <w:highlight w:val="none"/>
                <w:lang w:val="en-US" w:eastAsia="zh-CN"/>
                <w14:textFill>
                  <w14:solidFill>
                    <w14:schemeClr w14:val="tx1"/>
                  </w14:solidFill>
                </w14:textFill>
              </w:rPr>
              <w:t>名称</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开户</w:t>
            </w:r>
            <w:r>
              <w:rPr>
                <w:rFonts w:hint="eastAsia" w:ascii="宋体" w:hAnsi="宋体" w:cs="宋体"/>
                <w:color w:val="000000" w:themeColor="text1"/>
                <w:sz w:val="24"/>
                <w:highlight w:val="none"/>
                <w14:textFill>
                  <w14:solidFill>
                    <w14:schemeClr w14:val="tx1"/>
                  </w14:solidFill>
                </w14:textFill>
              </w:rPr>
              <w:t>银行</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账号</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164" w:beforeLines="50" w:line="360" w:lineRule="auto"/>
        <w:ind w:firstLine="0" w:firstLineChars="0"/>
        <w:textAlignment w:val="auto"/>
        <w:rPr>
          <w:rFonts w:ascii="宋体" w:hAnsi="宋体" w:cs="宋体"/>
          <w:b/>
          <w:bCs/>
          <w:color w:val="auto"/>
          <w:sz w:val="24"/>
          <w:highlight w:val="none"/>
        </w:rPr>
      </w:pPr>
      <w:r>
        <w:rPr>
          <w:rFonts w:hint="eastAsia" w:ascii="宋体" w:hAnsi="宋体" w:cs="宋体"/>
          <w:b/>
          <w:bCs/>
          <w:color w:val="000000" w:themeColor="text1"/>
          <w:sz w:val="24"/>
          <w:highlight w:val="none"/>
          <w14:textFill>
            <w14:solidFill>
              <w14:schemeClr w14:val="tx1"/>
            </w14:solidFill>
          </w14:textFill>
        </w:rPr>
        <w:t>6.</w:t>
      </w:r>
      <w:r>
        <w:rPr>
          <w:rFonts w:hint="eastAsia" w:ascii="宋体" w:hAnsi="宋体" w:cs="宋体"/>
          <w:b/>
          <w:bCs/>
          <w:color w:val="auto"/>
          <w:sz w:val="24"/>
          <w:highlight w:val="none"/>
        </w:rPr>
        <w:t>合同价款</w:t>
      </w:r>
    </w:p>
    <w:p>
      <w:pPr>
        <w:pStyle w:val="12"/>
        <w:adjustRightInd w:val="0"/>
        <w:snapToGrid w:val="0"/>
        <w:spacing w:line="360" w:lineRule="auto"/>
        <w:ind w:firstLine="480" w:firstLineChars="200"/>
        <w:outlineLvl w:val="0"/>
        <w:rPr>
          <w:rFonts w:ascii="宋体" w:hAnsi="宋体" w:cs="宋体"/>
          <w:color w:val="auto"/>
          <w:sz w:val="24"/>
          <w:szCs w:val="24"/>
          <w:highlight w:val="none"/>
        </w:rPr>
      </w:pPr>
      <w:r>
        <w:rPr>
          <w:rFonts w:hint="eastAsia" w:ascii="宋体" w:hAnsi="宋体" w:cs="宋体"/>
          <w:color w:val="auto"/>
          <w:sz w:val="24"/>
          <w:szCs w:val="24"/>
          <w:highlight w:val="none"/>
        </w:rPr>
        <w:t>合同签订时确定。</w:t>
      </w:r>
    </w:p>
    <w:p>
      <w:pPr>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highlight w:val="none"/>
          <w:lang w:val="en-GB"/>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 付款方式</w:t>
      </w:r>
    </w:p>
    <w:p>
      <w:pPr>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highlight w:val="none"/>
          <w:lang w:val="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val="zh-CN"/>
        </w:rPr>
        <w:t>本合同</w:t>
      </w:r>
      <w:r>
        <w:rPr>
          <w:rFonts w:hint="eastAsia" w:ascii="宋体" w:hAnsi="宋体" w:cs="宋体"/>
          <w:color w:val="auto"/>
          <w:sz w:val="24"/>
          <w:highlight w:val="none"/>
          <w:lang w:val="en-US" w:eastAsia="zh-CN"/>
        </w:rPr>
        <w:t>无</w:t>
      </w:r>
      <w:r>
        <w:rPr>
          <w:rFonts w:hint="eastAsia" w:ascii="宋体" w:hAnsi="宋体" w:cs="宋体"/>
          <w:color w:val="auto"/>
          <w:sz w:val="24"/>
          <w:highlight w:val="none"/>
          <w:lang w:val="zh-CN"/>
        </w:rPr>
        <w:t xml:space="preserve">预付款；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2乙方完成合同范围内的工作，甲方已收到乙方开具的增值税专用发票，甲方向乙方支付服务费。</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sectPr>
          <w:footerReference r:id="rId6" w:type="default"/>
          <w:pgSz w:w="11906" w:h="16838"/>
          <w:pgMar w:top="1247" w:right="1304" w:bottom="1247" w:left="1440" w:header="720" w:footer="851" w:gutter="0"/>
          <w:pgNumType w:fmt="decimal" w:start="1"/>
          <w:cols w:space="720" w:num="1"/>
          <w:docGrid w:linePitch="326" w:charSpace="0"/>
        </w:sectPr>
      </w:pPr>
      <w:r>
        <w:rPr>
          <w:rFonts w:hint="eastAsia" w:ascii="宋体" w:hAnsi="宋体" w:eastAsia="宋体" w:cs="宋体"/>
          <w:color w:val="auto"/>
          <w:sz w:val="24"/>
          <w:highlight w:val="none"/>
          <w:lang w:val="zh-CN"/>
        </w:rPr>
        <w:br w:type="page"/>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4384" behindDoc="0" locked="0" layoutInCell="0" allowOverlap="1">
                <wp:simplePos x="0" y="0"/>
                <wp:positionH relativeFrom="column">
                  <wp:posOffset>4114800</wp:posOffset>
                </wp:positionH>
                <wp:positionV relativeFrom="paragraph">
                  <wp:posOffset>310515</wp:posOffset>
                </wp:positionV>
                <wp:extent cx="63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4pt;margin-top:24.45pt;height:0pt;width:0.05pt;z-index:251664384;mso-width-relative:page;mso-height-relative:page;" filled="f" stroked="t" coordsize="21600,21600" o:allowincell="f" o:gfxdata="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DNRUNYAAAAJAQAADwAAAAAAAAABACAAAAAiAAAAZHJzL2Rvd25yZXYueG1sUEsBAhQAFAAA&#10;AAgAh07iQNg9CMrxAQAA4AMAAA4AAAAAAAAAAQAgAAAAJQEAAGRycy9lMm9Eb2MueG1sUEsFBgAA&#10;AAAGAAYAWQEAAIgFAAAAAA==&#10;">
                <v:fill on="f" focussize="0,0"/>
                <v:stroke color="#000000" joinstyle="round"/>
                <v:imagedata o:title=""/>
                <o:lock v:ext="edit" aspectratio="f"/>
              </v:line>
            </w:pict>
          </mc:Fallback>
        </mc:AlternateContent>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3360" behindDoc="0" locked="0" layoutInCell="0" allowOverlap="1">
                <wp:simplePos x="0" y="0"/>
                <wp:positionH relativeFrom="column">
                  <wp:posOffset>3962400</wp:posOffset>
                </wp:positionH>
                <wp:positionV relativeFrom="paragraph">
                  <wp:posOffset>310515</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2pt;margin-top:24.45pt;height:0pt;width:0.05pt;z-index:251663360;mso-width-relative:page;mso-height-relative:page;" filled="f" stroked="t" coordsize="21600,21600" o:allowincell="f" o:gfxdata="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lqh7tYAAAAJAQAADwAAAAAAAAABACAAAAAiAAAAZHJzL2Rvd25yZXYueG1sUEsBAhQAFAAA&#10;AAgAh07iQLhjKsHxAQAA4AMAAA4AAAAAAAAAAQAgAAAAJQEAAGRycy9lMm9Eb2MueG1sUEsFBgAA&#10;AAAGAAYAWQEAAIgFAAAAAA==&#10;">
                <v:fill on="f" focussize="0,0"/>
                <v:stroke color="#000000" joinstyle="round"/>
                <v:imagedata o:title=""/>
                <o:lock v:ext="edit" aspectratio="f"/>
              </v:line>
            </w:pict>
          </mc:Fallback>
        </mc:AlternateContent>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2336" behindDoc="0" locked="0" layoutInCell="0" allowOverlap="1">
                <wp:simplePos x="0" y="0"/>
                <wp:positionH relativeFrom="column">
                  <wp:posOffset>4038600</wp:posOffset>
                </wp:positionH>
                <wp:positionV relativeFrom="paragraph">
                  <wp:posOffset>207010</wp:posOffset>
                </wp:positionV>
                <wp:extent cx="63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8pt;margin-top:16.3pt;height:0pt;width:0.05pt;z-index:251662336;mso-width-relative:page;mso-height-relative:page;" filled="f" stroked="t" coordsize="21600,21600" o:allowincell="f" o:gfxdata="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juSyzVAAAACQEAAA8AAAAAAAAAAQAgAAAAIgAAAGRycy9kb3ducmV2LnhtbFBLAQIUABQAAAAI&#10;AIdO4kD4puf78AEAAOADAAAOAAAAAAAAAAEAIAAAACQBAABkcnMvZTJvRG9jLnhtbFBLBQYAAAAA&#10;BgAGAFkBAACGBQAAAAA=&#10;">
                <v:fill on="f" focussize="0,0"/>
                <v:stroke color="#000000" joinstyle="round"/>
                <v:imagedata o:title=""/>
                <o:lock v:ext="edit" aspectratio="f"/>
              </v:line>
            </w:pict>
          </mc:Fallback>
        </mc:AlternateContent>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1312" behindDoc="0" locked="0" layoutInCell="0" allowOverlap="1">
                <wp:simplePos x="0" y="0"/>
                <wp:positionH relativeFrom="column">
                  <wp:posOffset>4038600</wp:posOffset>
                </wp:positionH>
                <wp:positionV relativeFrom="paragraph">
                  <wp:posOffset>207010</wp:posOffset>
                </wp:positionV>
                <wp:extent cx="635"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8pt;margin-top:16.3pt;height:0pt;width:0.05pt;z-index:251661312;mso-width-relative:page;mso-height-relative:page;" filled="f" stroked="t" coordsize="21600,21600" o:allowincell="f" o:gfxdata="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O5LLNUAAAAJAQAADwAAAAAAAAABACAAAAAiAAAAZHJzL2Rvd25yZXYueG1sUEsBAhQAFAAA&#10;AAgAh07iQJj4xfDyAQAA4AMAAA4AAAAAAAAAAQAgAAAAJAEAAGRycy9lMm9Eb2MueG1sUEsFBgAA&#10;AAAGAAYAWQEAAIgFAAAAAA==&#10;">
                <v:fill on="f" focussize="0,0"/>
                <v:stroke color="#000000" joinstyle="round"/>
                <v:imagedata o:title=""/>
                <o:lock v:ext="edit" aspectratio="f"/>
              </v:line>
            </w:pict>
          </mc:Fallback>
        </mc:AlternateContent>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0288" behindDoc="0" locked="0" layoutInCell="0" allowOverlap="1">
                <wp:simplePos x="0" y="0"/>
                <wp:positionH relativeFrom="column">
                  <wp:posOffset>3962400</wp:posOffset>
                </wp:positionH>
                <wp:positionV relativeFrom="paragraph">
                  <wp:posOffset>310515</wp:posOffset>
                </wp:positionV>
                <wp:extent cx="635"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2pt;margin-top:24.45pt;height:0pt;width:0.05pt;z-index:251660288;mso-width-relative:page;mso-height-relative:page;" filled="f" stroked="t" coordsize="21600,21600" o:allowincell="f" o:gfxdata="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lqh7tYAAAAJAQAADwAAAAAAAAABACAAAAAiAAAAZHJzL2Rvd25yZXYueG1sUEsBAhQAFAAA&#10;AAgAh07iQFhEgebxAQAA4AMAAA4AAAAAAAAAAQAgAAAAJQEAAGRycy9lMm9Eb2MueG1sUEsFBgAA&#10;AAAGAAYAWQEAAIgFAAAAAA==&#10;">
                <v:fill on="f" focussize="0,0"/>
                <v:stroke color="#000000" joinstyle="round"/>
                <v:imagedata o:title=""/>
                <o:lock v:ext="edit" aspectratio="f"/>
              </v:line>
            </w:pict>
          </mc:Fallback>
        </mc:AlternateContent>
      </w:r>
      <w:bookmarkStart w:id="2" w:name="_Hlt54597917"/>
      <w:bookmarkEnd w:id="2"/>
      <w:r>
        <w:rPr>
          <w:rFonts w:hint="eastAsia" w:ascii="宋体" w:hAnsi="宋体" w:eastAsia="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9504" behindDoc="0" locked="0" layoutInCell="0" allowOverlap="1">
                <wp:simplePos x="0" y="0"/>
                <wp:positionH relativeFrom="column">
                  <wp:posOffset>4114800</wp:posOffset>
                </wp:positionH>
                <wp:positionV relativeFrom="paragraph">
                  <wp:posOffset>310515</wp:posOffset>
                </wp:positionV>
                <wp:extent cx="635"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4pt;margin-top:24.45pt;height:0pt;width:0.05pt;z-index:251669504;mso-width-relative:page;mso-height-relative:page;" filled="f" stroked="t" coordsize="21600,21600" o:allowincell="f" o:gfxdata="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QzUVDWAAAACQEAAA8AAAAAAAAAAQAgAAAAIgAAAGRycy9kb3ducmV2LnhtbFBLAQIUABQA&#10;AAAIAIdO4kA4GqPt8gEAAOADAAAOAAAAAAAAAAEAIAAAACUBAABkcnMvZTJvRG9jLnhtbFBLBQYA&#10;AAAABgAGAFkBAACJBQAAAAA=&#10;">
                <v:fill on="f" focussize="0,0"/>
                <v:stroke color="#000000" joinstyle="round"/>
                <v:imagedata o:title=""/>
                <o:lock v:ext="edit" aspectratio="f"/>
              </v:line>
            </w:pict>
          </mc:Fallback>
        </mc:AlternateContent>
      </w:r>
      <w:r>
        <w:rPr>
          <w:rFonts w:hint="eastAsia" w:ascii="宋体" w:hAnsi="宋体" w:eastAsia="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8480" behindDoc="0" locked="0" layoutInCell="0" allowOverlap="1">
                <wp:simplePos x="0" y="0"/>
                <wp:positionH relativeFrom="column">
                  <wp:posOffset>3962400</wp:posOffset>
                </wp:positionH>
                <wp:positionV relativeFrom="paragraph">
                  <wp:posOffset>310515</wp:posOffset>
                </wp:positionV>
                <wp:extent cx="635" cy="0"/>
                <wp:effectExtent l="0" t="4445" r="0" b="5080"/>
                <wp:wrapNone/>
                <wp:docPr id="11" name="直接连接符 1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2pt;margin-top:24.45pt;height:0pt;width:0.05pt;z-index:251668480;mso-width-relative:page;mso-height-relative:page;" filled="f" stroked="t" coordsize="21600,21600" o:allowincell="f" o:gfxdata="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lqh7tYAAAAJAQAADwAAAAAAAAABACAAAAAiAAAAZHJzL2Rvd25yZXYueG1sUEsBAhQAFAAA&#10;AAgAh07iQK/Rmx3xAQAA4gMAAA4AAAAAAAAAAQAgAAAAJQEAAGRycy9lMm9Eb2MueG1sUEsFBgAA&#10;AAAGAAYAWQEAAIgFAAAAAA==&#10;">
                <v:fill on="f" focussize="0,0"/>
                <v:stroke color="#000000" joinstyle="round"/>
                <v:imagedata o:title=""/>
                <o:lock v:ext="edit" aspectratio="f"/>
              </v:line>
            </w:pict>
          </mc:Fallback>
        </mc:AlternateContent>
      </w:r>
      <w:r>
        <w:rPr>
          <w:rFonts w:hint="eastAsia" w:ascii="宋体" w:hAnsi="宋体" w:eastAsia="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7456" behindDoc="0" locked="0" layoutInCell="0" allowOverlap="1">
                <wp:simplePos x="0" y="0"/>
                <wp:positionH relativeFrom="column">
                  <wp:posOffset>4038600</wp:posOffset>
                </wp:positionH>
                <wp:positionV relativeFrom="paragraph">
                  <wp:posOffset>207010</wp:posOffset>
                </wp:positionV>
                <wp:extent cx="635" cy="0"/>
                <wp:effectExtent l="0" t="4445" r="0" b="5080"/>
                <wp:wrapNone/>
                <wp:docPr id="9" name="直接连接符 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8pt;margin-top:16.3pt;height:0pt;width:0.05pt;z-index:251667456;mso-width-relative:page;mso-height-relative:page;" filled="f" stroked="t" coordsize="21600,21600" o:allowincell="f" o:gfxdata="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juSyzVAAAACQEAAA8AAAAAAAAAAQAgAAAAIgAAAGRycy9kb3ducmV2LnhtbFBLAQIUABQAAAAI&#10;AIdO4kB4LHyO8AEAAOADAAAOAAAAAAAAAAEAIAAAACQBAABkcnMvZTJvRG9jLnhtbFBLBQYAAAAA&#10;BgAGAFkBAACGBQAAAAA=&#10;">
                <v:fill on="f" focussize="0,0"/>
                <v:stroke color="#000000" joinstyle="round"/>
                <v:imagedata o:title=""/>
                <o:lock v:ext="edit" aspectratio="f"/>
              </v:line>
            </w:pict>
          </mc:Fallback>
        </mc:AlternateContent>
      </w:r>
      <w:r>
        <w:rPr>
          <w:rFonts w:hint="eastAsia" w:ascii="宋体" w:hAnsi="宋体" w:eastAsia="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6432" behindDoc="0" locked="0" layoutInCell="0" allowOverlap="1">
                <wp:simplePos x="0" y="0"/>
                <wp:positionH relativeFrom="column">
                  <wp:posOffset>4038600</wp:posOffset>
                </wp:positionH>
                <wp:positionV relativeFrom="paragraph">
                  <wp:posOffset>207010</wp:posOffset>
                </wp:positionV>
                <wp:extent cx="635"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8pt;margin-top:16.3pt;height:0pt;width:0.05pt;z-index:251666432;mso-width-relative:page;mso-height-relative:page;" filled="f" stroked="t" coordsize="21600,21600" o:allowincell="f" o:gfxdata="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47kss1QAAAAkBAAAPAAAAAAAAAAEAIAAAACIAAABkcnMvZG93bnJldi54bWxQSwECFAAUAAAA&#10;CACHTuJAGHJehfEBAADgAwAADgAAAAAAAAABACAAAAAkAQAAZHJzL2Uyb0RvYy54bWxQSwUGAAAA&#10;AAYABgBZAQAAhwUAAAAA&#10;">
                <v:fill on="f" focussize="0,0"/>
                <v:stroke color="#000000" joinstyle="round"/>
                <v:imagedata o:title=""/>
                <o:lock v:ext="edit" aspectratio="f"/>
              </v:line>
            </w:pict>
          </mc:Fallback>
        </mc:AlternateContent>
      </w:r>
      <w:r>
        <w:rPr>
          <w:rFonts w:hint="eastAsia" w:ascii="宋体" w:hAnsi="宋体" w:eastAsia="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5408" behindDoc="0" locked="0" layoutInCell="0" allowOverlap="1">
                <wp:simplePos x="0" y="0"/>
                <wp:positionH relativeFrom="column">
                  <wp:posOffset>3962400</wp:posOffset>
                </wp:positionH>
                <wp:positionV relativeFrom="paragraph">
                  <wp:posOffset>310515</wp:posOffset>
                </wp:positionV>
                <wp:extent cx="635"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2pt;margin-top:24.45pt;height:0pt;width:0.05pt;z-index:251665408;mso-width-relative:page;mso-height-relative:page;" filled="f" stroked="t" coordsize="21600,21600" o:allowincell="f" o:gfxdata="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lqh7tYAAAAJAQAADwAAAAAAAAABACAAAAAiAAAAZHJzL2Rvd25yZXYueG1sUEsBAhQAFAAA&#10;AAgAh07iQJ/V6ebxAQAA4gMAAA4AAAAAAAAAAQAgAAAAJQEAAGRycy9lMm9Eb2MueG1sUEsFBgAA&#10;AAAGAAYAWQEAAIgFAAAAAA==&#10;">
                <v:fill on="f" focussize="0,0"/>
                <v:stroke color="#000000" joinstyle="round"/>
                <v:imagedata o:title=""/>
                <o:lock v:ext="edit" aspectratio="f"/>
              </v:line>
            </w:pict>
          </mc:Fallback>
        </mc:AlternateContent>
      </w:r>
      <w:bookmarkStart w:id="3" w:name="_Toc18232187"/>
      <w:bookmarkStart w:id="4" w:name="_Toc3532452"/>
      <w:bookmarkStart w:id="5" w:name="_Toc18232263"/>
      <w:bookmarkStart w:id="6" w:name="_Toc18232450"/>
      <w:bookmarkStart w:id="7" w:name="_Toc232541274"/>
      <w:bookmarkStart w:id="8" w:name="_Toc3532206"/>
      <w:bookmarkStart w:id="9" w:name="_Toc3529237"/>
      <w:bookmarkStart w:id="10" w:name="_Toc18305840"/>
      <w:bookmarkStart w:id="11" w:name="_Toc3529065"/>
    </w:p>
    <w:bookmarkEnd w:id="3"/>
    <w:bookmarkEnd w:id="4"/>
    <w:bookmarkEnd w:id="5"/>
    <w:bookmarkEnd w:id="6"/>
    <w:bookmarkEnd w:id="7"/>
    <w:bookmarkEnd w:id="8"/>
    <w:bookmarkEnd w:id="9"/>
    <w:bookmarkEnd w:id="10"/>
    <w:bookmarkEnd w:id="11"/>
    <w:p>
      <w:pPr>
        <w:snapToGrid w:val="0"/>
        <w:rPr>
          <w:rFonts w:hint="default" w:asciiTheme="minorHAnsi" w:hAnsiTheme="minorHAnsi" w:eastAsiaTheme="minorEastAsia" w:cstheme="minorBidi"/>
          <w:szCs w:val="24"/>
          <w:highlight w:val="none"/>
          <w:shd w:val="clear"/>
          <w:lang w:val="en-US" w:eastAsia="zh-CN"/>
        </w:rPr>
      </w:pPr>
      <w:bookmarkStart w:id="12" w:name="_Toc299454575"/>
      <w:bookmarkEnd w:id="12"/>
      <w:bookmarkStart w:id="13" w:name="_Toc299455213"/>
      <w:bookmarkEnd w:id="13"/>
      <w:bookmarkStart w:id="14" w:name="_Toc299378797"/>
      <w:bookmarkEnd w:id="14"/>
      <w:bookmarkStart w:id="15" w:name="_Hlt513196735"/>
      <w:bookmarkEnd w:id="15"/>
      <w:bookmarkStart w:id="16" w:name="_Toc1085"/>
      <w:bookmarkStart w:id="17" w:name="_Toc17257"/>
      <w:bookmarkStart w:id="18" w:name="_Toc27066"/>
      <w:bookmarkStart w:id="19" w:name="_Toc31402"/>
      <w:bookmarkStart w:id="20" w:name="_Toc13169"/>
      <w:bookmarkStart w:id="21" w:name="_Toc7590"/>
      <w:bookmarkStart w:id="22" w:name="_Toc16704"/>
      <w:bookmarkStart w:id="23" w:name="_Toc14707"/>
      <w:bookmarkStart w:id="24" w:name="_Toc3806"/>
      <w:bookmarkStart w:id="25" w:name="_Toc25714"/>
      <w:bookmarkStart w:id="26" w:name="_Toc5261"/>
      <w:bookmarkStart w:id="27" w:name="_Toc27013"/>
      <w:bookmarkStart w:id="28" w:name="_Toc20653"/>
      <w:bookmarkStart w:id="29" w:name="_Toc11010"/>
      <w:bookmarkStart w:id="30" w:name="_Toc19017"/>
      <w:bookmarkStart w:id="31" w:name="_Toc31064"/>
      <w:bookmarkStart w:id="32" w:name="_Toc2071"/>
      <w:bookmarkStart w:id="33" w:name="_Toc2761"/>
      <w:bookmarkStart w:id="34" w:name="_Toc27642"/>
      <w:bookmarkStart w:id="35" w:name="_Toc12510"/>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Pr>
        <w:snapToGrid w:val="0"/>
        <w:spacing w:line="360" w:lineRule="auto"/>
        <w:ind w:firstLine="420" w:firstLineChars="200"/>
        <w:rPr>
          <w:highlight w:val="none"/>
        </w:rPr>
      </w:pPr>
    </w:p>
    <w:p>
      <w:pPr>
        <w:numPr>
          <w:ilvl w:val="0"/>
          <w:numId w:val="0"/>
        </w:numPr>
        <w:spacing w:line="360" w:lineRule="auto"/>
        <w:ind w:leftChars="0"/>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lang w:eastAsia="zh-CN"/>
          <w14:textFill>
            <w14:solidFill>
              <w14:schemeClr w14:val="tx1"/>
            </w14:solidFill>
          </w14:textFill>
        </w:rPr>
        <w:t>第</w:t>
      </w:r>
      <w:r>
        <w:rPr>
          <w:rFonts w:hint="eastAsia" w:ascii="宋体" w:hAnsi="宋体" w:cs="宋体"/>
          <w:b/>
          <w:bCs/>
          <w:color w:val="000000" w:themeColor="text1"/>
          <w:sz w:val="30"/>
          <w:szCs w:val="30"/>
          <w:highlight w:val="none"/>
          <w:lang w:val="en-US" w:eastAsia="zh-CN"/>
          <w14:textFill>
            <w14:solidFill>
              <w14:schemeClr w14:val="tx1"/>
            </w14:solidFill>
          </w14:textFill>
        </w:rPr>
        <w:t>四</w:t>
      </w:r>
      <w:r>
        <w:rPr>
          <w:rFonts w:hint="eastAsia" w:ascii="宋体" w:hAnsi="宋体" w:cs="宋体"/>
          <w:b/>
          <w:bCs/>
          <w:color w:val="000000" w:themeColor="text1"/>
          <w:sz w:val="30"/>
          <w:szCs w:val="30"/>
          <w:highlight w:val="none"/>
          <w:lang w:eastAsia="zh-CN"/>
          <w14:textFill>
            <w14:solidFill>
              <w14:schemeClr w14:val="tx1"/>
            </w14:solidFill>
          </w14:textFill>
        </w:rPr>
        <w:t>章</w:t>
      </w:r>
      <w:r>
        <w:rPr>
          <w:rFonts w:hint="eastAsia" w:ascii="宋体" w:hAnsi="宋体" w:cs="宋体"/>
          <w:b/>
          <w:bCs/>
          <w:color w:val="000000" w:themeColor="text1"/>
          <w:sz w:val="30"/>
          <w:szCs w:val="30"/>
          <w:highlight w:val="none"/>
          <w:lang w:val="en-US" w:eastAsia="zh-CN"/>
          <w14:textFill>
            <w14:solidFill>
              <w14:schemeClr w14:val="tx1"/>
            </w14:solidFill>
          </w14:textFill>
        </w:rPr>
        <w:t xml:space="preserve"> </w:t>
      </w:r>
      <w:r>
        <w:rPr>
          <w:rFonts w:hint="eastAsia" w:ascii="宋体" w:hAnsi="宋体" w:cs="宋体"/>
          <w:b/>
          <w:bCs/>
          <w:color w:val="000000" w:themeColor="text1"/>
          <w:sz w:val="30"/>
          <w:szCs w:val="30"/>
          <w:highlight w:val="none"/>
          <w14:textFill>
            <w14:solidFill>
              <w14:schemeClr w14:val="tx1"/>
            </w14:solidFill>
          </w14:textFill>
        </w:rPr>
        <w:t>评审办法</w:t>
      </w:r>
    </w:p>
    <w:p>
      <w:pPr>
        <w:pStyle w:val="2"/>
        <w:numPr>
          <w:ilvl w:val="0"/>
          <w:numId w:val="0"/>
        </w:numPr>
        <w:rPr>
          <w:color w:val="000000" w:themeColor="text1"/>
          <w:highlight w:val="none"/>
          <w14:textFill>
            <w14:solidFill>
              <w14:schemeClr w14:val="tx1"/>
            </w14:solidFill>
          </w14:textFill>
        </w:rPr>
      </w:pP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 评审机构及成员</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1.1本项目成立评审小组。评审工作由评审小组负责。</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 评审小组共5人,由比选人的技术、经济专家组成</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监督人员</w:t>
      </w:r>
      <w:r>
        <w:rPr>
          <w:rFonts w:hint="eastAsia" w:ascii="宋体" w:hAnsi="宋体" w:cs="宋体"/>
          <w:color w:val="000000" w:themeColor="text1"/>
          <w:sz w:val="24"/>
          <w:highlight w:val="none"/>
          <w14:textFill>
            <w14:solidFill>
              <w14:schemeClr w14:val="tx1"/>
            </w14:solidFill>
          </w14:textFill>
        </w:rPr>
        <w:t>1人。</w:t>
      </w: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  评审程序和内容</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  阅读比选书及有关资料。</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对证明具备比选资格的原始文件的复印件（包括营业执照、</w:t>
      </w:r>
      <w:r>
        <w:rPr>
          <w:rFonts w:hint="eastAsia" w:ascii="宋体" w:hAnsi="宋体" w:cs="宋体"/>
          <w:color w:val="000000" w:themeColor="text1"/>
          <w:sz w:val="24"/>
          <w:highlight w:val="none"/>
          <w:lang w:val="en-US" w:eastAsia="zh-CN"/>
          <w14:textFill>
            <w14:solidFill>
              <w14:schemeClr w14:val="tx1"/>
            </w14:solidFill>
          </w14:textFill>
        </w:rPr>
        <w:t>资质证书、</w:t>
      </w:r>
      <w:r>
        <w:rPr>
          <w:rFonts w:hint="eastAsia" w:ascii="宋体" w:hAnsi="宋体" w:cs="宋体"/>
          <w:color w:val="000000" w:themeColor="text1"/>
          <w:sz w:val="24"/>
          <w:highlight w:val="none"/>
          <w14:textFill>
            <w14:solidFill>
              <w14:schemeClr w14:val="tx1"/>
            </w14:solidFill>
          </w14:textFill>
        </w:rPr>
        <w:t>银行资信证明等）、授权委托书等进行评估。</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 比选申请人文件澄清</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在必要时，为有助于比选申请人文件的审查、评价和比较，评审小组可以对比选申请人文件有疑问或不清楚的地方进行书面澄清，比选申请人接到评审小组书面澄清问题后，以书面形式将澄清回复传真给监审组，监审组再转交评审小组。比选申请人传真的澄清回复应有法定代表人或被授权代表人签字，澄清问题回复作为比选申请人文件的组成部分。</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  综合评价与比较</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评审应依据评审原则、评审办法，对比选文件进行详细评审，合理评定打分，统计排序。</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  编制评审报告</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评审小组完成评审后，应编写评审报告。</w:t>
      </w: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  评审打分办法</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在所有评委对每个比选申请人的每一单项评分中，取评委打分的算术平均值作为该比选申请人的单项得分；计分保留至小数点后两位，小数点后第三位四舍五入。</w:t>
      </w:r>
    </w:p>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技术评分细则（满分100分，权重0.</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，见下附表1）</w:t>
      </w:r>
    </w:p>
    <w:p>
      <w:r>
        <w:rPr>
          <w:rFonts w:hint="eastAsia" w:ascii="宋体" w:hAnsi="宋体" w:cs="宋体"/>
          <w:bCs/>
          <w:color w:val="000000" w:themeColor="text1"/>
          <w:sz w:val="24"/>
          <w:highlight w:val="none"/>
          <w14:textFill>
            <w14:solidFill>
              <w14:schemeClr w14:val="tx1"/>
            </w14:solidFill>
          </w14:textFill>
        </w:rPr>
        <w:t>附表1 技术评分表</w:t>
      </w:r>
    </w:p>
    <w:p>
      <w:pPr>
        <w:rPr>
          <w:rFonts w:hint="eastAsia" w:ascii="宋体" w:hAnsi="宋体" w:cs="宋体"/>
          <w:b/>
          <w:color w:val="000000" w:themeColor="text1"/>
          <w:sz w:val="24"/>
          <w:highlight w:val="none"/>
          <w14:textFill>
            <w14:solidFill>
              <w14:schemeClr w14:val="tx1"/>
            </w14:solidFill>
          </w14:textFill>
        </w:rPr>
      </w:pPr>
    </w:p>
    <w:p>
      <w:pPr>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技术评分表</w:t>
      </w:r>
    </w:p>
    <w:p>
      <w:pPr>
        <w:spacing w:line="360" w:lineRule="auto"/>
        <w:rPr>
          <w:rFonts w:hint="eastAsia" w:ascii="宋体" w:hAnsi="宋体" w:cs="宋体"/>
          <w:color w:val="000000" w:themeColor="text1"/>
          <w:sz w:val="24"/>
          <w:highlight w:val="none"/>
          <w14:textFill>
            <w14:solidFill>
              <w14:schemeClr w14:val="tx1"/>
            </w14:solidFill>
          </w14:textFill>
        </w:rPr>
      </w:pPr>
    </w:p>
    <w:tbl>
      <w:tblPr>
        <w:tblStyle w:val="22"/>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203"/>
        <w:gridCol w:w="6135"/>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20"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03" w:type="dxa"/>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135" w:type="dxa"/>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评分依据</w:t>
            </w:r>
          </w:p>
        </w:tc>
        <w:tc>
          <w:tcPr>
            <w:tcW w:w="1001" w:type="dxa"/>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52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1</w:t>
            </w:r>
          </w:p>
        </w:tc>
        <w:tc>
          <w:tcPr>
            <w:tcW w:w="1203"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执业资质</w:t>
            </w:r>
          </w:p>
        </w:tc>
        <w:tc>
          <w:tcPr>
            <w:tcW w:w="61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具有城乡规划编制资质乙级</w:t>
            </w:r>
            <w:r>
              <w:rPr>
                <w:rFonts w:hint="eastAsia" w:ascii="宋体" w:hAnsi="宋体" w:cs="宋体"/>
                <w:bCs/>
                <w:color w:val="auto"/>
                <w:sz w:val="24"/>
                <w:szCs w:val="24"/>
                <w:highlight w:val="none"/>
                <w:lang w:val="en-US" w:eastAsia="zh-CN"/>
              </w:rPr>
              <w:t>得12</w:t>
            </w:r>
            <w:r>
              <w:rPr>
                <w:rFonts w:hint="eastAsia" w:ascii="宋体" w:hAnsi="宋体" w:eastAsia="宋体" w:cs="宋体"/>
                <w:bCs/>
                <w:color w:val="auto"/>
                <w:sz w:val="24"/>
                <w:szCs w:val="24"/>
                <w:highlight w:val="none"/>
                <w:lang w:val="en-US" w:eastAsia="zh-CN"/>
              </w:rPr>
              <w:t>分，具有城乡规划编制资质甲级</w:t>
            </w:r>
            <w:r>
              <w:rPr>
                <w:rFonts w:hint="eastAsia" w:ascii="宋体" w:hAnsi="宋体" w:cs="宋体"/>
                <w:bCs/>
                <w:color w:val="auto"/>
                <w:sz w:val="24"/>
                <w:szCs w:val="24"/>
                <w:highlight w:val="none"/>
                <w:lang w:val="en-US" w:eastAsia="zh-CN"/>
              </w:rPr>
              <w:t>得</w:t>
            </w:r>
            <w:r>
              <w:rPr>
                <w:rFonts w:hint="eastAsia" w:ascii="宋体" w:hAnsi="宋体" w:eastAsia="宋体" w:cs="宋体"/>
                <w:bCs/>
                <w:color w:val="auto"/>
                <w:sz w:val="24"/>
                <w:szCs w:val="24"/>
                <w:highlight w:val="none"/>
                <w:lang w:val="en-US" w:eastAsia="zh-CN"/>
              </w:rPr>
              <w:t>15分。</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52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w:t>
            </w:r>
          </w:p>
        </w:tc>
        <w:tc>
          <w:tcPr>
            <w:tcW w:w="1203"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类似业绩</w:t>
            </w:r>
          </w:p>
        </w:tc>
        <w:tc>
          <w:tcPr>
            <w:tcW w:w="61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类似</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建设项目规划选址论证</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业绩</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201</w:t>
            </w:r>
            <w:r>
              <w:rPr>
                <w:rFonts w:hint="eastAsia" w:ascii="宋体" w:hAnsi="宋体" w:cs="宋体"/>
                <w:bCs/>
                <w:color w:val="auto"/>
                <w:sz w:val="24"/>
                <w:szCs w:val="24"/>
                <w:highlight w:val="none"/>
                <w:lang w:val="en-US" w:eastAsia="zh-CN"/>
              </w:rPr>
              <w:t>9至今，具</w:t>
            </w:r>
            <w:r>
              <w:rPr>
                <w:rFonts w:hint="eastAsia" w:ascii="宋体" w:hAnsi="宋体" w:eastAsia="宋体" w:cs="宋体"/>
                <w:bCs/>
                <w:color w:val="auto"/>
                <w:sz w:val="24"/>
                <w:szCs w:val="24"/>
                <w:highlight w:val="none"/>
              </w:rPr>
              <w:t>有</w:t>
            </w:r>
            <w:r>
              <w:rPr>
                <w:rFonts w:hint="eastAsia" w:ascii="宋体" w:hAnsi="宋体" w:eastAsia="宋体" w:cs="宋体"/>
                <w:bCs/>
                <w:color w:val="auto"/>
                <w:sz w:val="24"/>
                <w:szCs w:val="24"/>
                <w:highlight w:val="none"/>
                <w:lang w:val="en-US" w:eastAsia="zh-CN"/>
              </w:rPr>
              <w:t>3个</w:t>
            </w:r>
            <w:r>
              <w:rPr>
                <w:rFonts w:hint="eastAsia" w:ascii="宋体" w:hAnsi="宋体" w:eastAsia="宋体" w:cs="宋体"/>
                <w:bCs/>
                <w:color w:val="auto"/>
                <w:sz w:val="24"/>
                <w:szCs w:val="24"/>
                <w:highlight w:val="none"/>
              </w:rPr>
              <w:t>类似项目</w:t>
            </w:r>
            <w:r>
              <w:rPr>
                <w:rFonts w:hint="eastAsia" w:ascii="宋体" w:hAnsi="宋体" w:eastAsia="宋体" w:cs="宋体"/>
                <w:bCs/>
                <w:color w:val="auto"/>
                <w:sz w:val="24"/>
                <w:szCs w:val="24"/>
                <w:highlight w:val="none"/>
                <w:lang w:val="en-US" w:eastAsia="zh-CN"/>
              </w:rPr>
              <w:t>业绩的，得9分；完成类似项目业绩超过3个的</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每增加</w:t>
            </w: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个业绩</w:t>
            </w:r>
            <w:r>
              <w:rPr>
                <w:rFonts w:hint="eastAsia" w:ascii="宋体" w:hAnsi="宋体" w:eastAsia="宋体" w:cs="宋体"/>
                <w:bCs/>
                <w:color w:val="auto"/>
                <w:sz w:val="24"/>
                <w:szCs w:val="24"/>
                <w:highlight w:val="none"/>
              </w:rPr>
              <w:t>得</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分，最高</w:t>
            </w:r>
            <w:r>
              <w:rPr>
                <w:rFonts w:hint="eastAsia" w:ascii="宋体" w:hAnsi="宋体" w:eastAsia="宋体" w:cs="宋体"/>
                <w:bCs/>
                <w:color w:val="auto"/>
                <w:sz w:val="24"/>
                <w:szCs w:val="24"/>
                <w:highlight w:val="none"/>
                <w:lang w:val="en-US" w:eastAsia="zh-CN"/>
              </w:rPr>
              <w:t>加6</w:t>
            </w:r>
            <w:r>
              <w:rPr>
                <w:rFonts w:hint="eastAsia" w:ascii="宋体" w:hAnsi="宋体" w:eastAsia="宋体" w:cs="宋体"/>
                <w:bCs/>
                <w:color w:val="auto"/>
                <w:sz w:val="24"/>
                <w:szCs w:val="24"/>
                <w:highlight w:val="none"/>
              </w:rPr>
              <w:t>分。</w:t>
            </w:r>
          </w:p>
          <w:p>
            <w:pPr>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注：</w:t>
            </w:r>
            <w:r>
              <w:rPr>
                <w:rFonts w:hint="eastAsia" w:ascii="宋体" w:hAnsi="宋体" w:eastAsia="宋体" w:cs="宋体"/>
                <w:bCs/>
                <w:color w:val="auto"/>
                <w:sz w:val="24"/>
                <w:szCs w:val="24"/>
                <w:highlight w:val="none"/>
                <w:lang w:val="en-US" w:eastAsia="zh-CN"/>
              </w:rPr>
              <w:t>业绩证明为合同复印件，</w:t>
            </w:r>
            <w:r>
              <w:rPr>
                <w:rFonts w:hint="eastAsia" w:ascii="宋体" w:hAnsi="宋体" w:eastAsia="宋体" w:cs="宋体"/>
                <w:bCs/>
                <w:color w:val="auto"/>
                <w:sz w:val="24"/>
                <w:szCs w:val="24"/>
                <w:highlight w:val="none"/>
              </w:rPr>
              <w:t>应包括封面、签字页及能显示项目名称和内容</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bCs/>
                <w:color w:val="auto"/>
                <w:sz w:val="24"/>
                <w:szCs w:val="24"/>
                <w:highlight w:val="none"/>
              </w:rPr>
              <w:t>部分</w:t>
            </w:r>
            <w:r>
              <w:rPr>
                <w:rFonts w:hint="eastAsia" w:ascii="宋体" w:hAnsi="宋体" w:eastAsia="宋体" w:cs="宋体"/>
                <w:bCs/>
                <w:color w:val="auto"/>
                <w:sz w:val="24"/>
                <w:szCs w:val="24"/>
                <w:highlight w:val="none"/>
                <w:lang w:eastAsia="zh-CN"/>
              </w:rPr>
              <w:t>。</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52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w:t>
            </w:r>
          </w:p>
        </w:tc>
        <w:tc>
          <w:tcPr>
            <w:tcW w:w="1203"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拟投入本项目</w:t>
            </w:r>
            <w:r>
              <w:rPr>
                <w:rFonts w:hint="eastAsia" w:ascii="宋体" w:hAnsi="宋体" w:eastAsia="宋体" w:cs="宋体"/>
                <w:bCs/>
                <w:color w:val="auto"/>
                <w:sz w:val="24"/>
                <w:szCs w:val="24"/>
                <w:highlight w:val="none"/>
              </w:rPr>
              <w:t>人力资源配置</w:t>
            </w:r>
          </w:p>
        </w:tc>
        <w:tc>
          <w:tcPr>
            <w:tcW w:w="61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1、项目负责人（</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w:t>
            </w:r>
          </w:p>
          <w:p>
            <w:pPr>
              <w:spacing w:line="24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项目负责人具有</w:t>
            </w:r>
            <w:r>
              <w:rPr>
                <w:rFonts w:hint="eastAsia" w:ascii="宋体" w:hAnsi="宋体" w:eastAsia="宋体" w:cs="宋体"/>
                <w:bCs/>
                <w:color w:val="auto"/>
                <w:sz w:val="24"/>
                <w:szCs w:val="24"/>
                <w:highlight w:val="none"/>
                <w:lang w:val="en-US" w:eastAsia="zh-CN"/>
              </w:rPr>
              <w:t>城乡规划相关专业高级职称的</w:t>
            </w:r>
            <w:r>
              <w:rPr>
                <w:rFonts w:hint="eastAsia" w:ascii="宋体" w:hAnsi="宋体" w:eastAsia="宋体" w:cs="宋体"/>
                <w:bCs/>
                <w:color w:val="auto"/>
                <w:sz w:val="24"/>
                <w:szCs w:val="24"/>
                <w:highlight w:val="none"/>
              </w:rPr>
              <w:t>得</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val="en-US" w:eastAsia="zh-CN"/>
              </w:rPr>
              <w:t>中级职称的得</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分，其他</w:t>
            </w:r>
            <w:r>
              <w:rPr>
                <w:rFonts w:hint="eastAsia" w:ascii="宋体" w:hAnsi="宋体" w:eastAsia="宋体" w:cs="宋体"/>
                <w:bCs/>
                <w:color w:val="auto"/>
                <w:sz w:val="24"/>
                <w:szCs w:val="24"/>
                <w:highlight w:val="none"/>
              </w:rPr>
              <w:t>得</w:t>
            </w: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分。</w:t>
            </w:r>
          </w:p>
          <w:p>
            <w:pPr>
              <w:numPr>
                <w:ilvl w:val="0"/>
                <w:numId w:val="0"/>
              </w:numPr>
              <w:spacing w:before="0" w:after="0" w:line="240" w:lineRule="auto"/>
              <w:ind w:right="0" w:rightChars="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2、项目部管理机构配置（</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分）</w:t>
            </w:r>
          </w:p>
          <w:p>
            <w:pPr>
              <w:spacing w:line="24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项目管理人员配置不合理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0</w:t>
            </w:r>
            <w:r>
              <w:rPr>
                <w:rFonts w:hint="eastAsia" w:ascii="宋体" w:hAnsi="宋体" w:eastAsia="宋体" w:cs="宋体"/>
                <w:bCs/>
                <w:color w:val="auto"/>
                <w:sz w:val="24"/>
                <w:szCs w:val="24"/>
                <w:highlight w:val="none"/>
                <w:lang w:eastAsia="zh-CN"/>
              </w:rPr>
              <w:t>分</w:t>
            </w:r>
            <w:r>
              <w:rPr>
                <w:rFonts w:hint="eastAsia" w:ascii="宋体" w:hAnsi="宋体" w:eastAsia="宋体" w:cs="宋体"/>
                <w:bCs/>
                <w:color w:val="auto"/>
                <w:sz w:val="24"/>
                <w:szCs w:val="24"/>
                <w:highlight w:val="none"/>
              </w:rPr>
              <w:t>)</w:t>
            </w:r>
          </w:p>
          <w:p>
            <w:pPr>
              <w:spacing w:line="24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项目管理人员配置基本合理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（1-</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rPr>
              <w:t>分）</w:t>
            </w:r>
          </w:p>
          <w:p>
            <w:pPr>
              <w:spacing w:line="24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项目管理人员配置针对工程实际且合理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分）</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52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w:t>
            </w:r>
          </w:p>
        </w:tc>
        <w:tc>
          <w:tcPr>
            <w:tcW w:w="1203"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组织方案</w:t>
            </w:r>
          </w:p>
        </w:tc>
        <w:tc>
          <w:tcPr>
            <w:tcW w:w="61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组织方案内容一般，符合国家相关规范、规定要求，措施针对性一般、可操作性一般。           （1-</w:t>
            </w:r>
            <w:r>
              <w:rPr>
                <w:rFonts w:hint="eastAsia" w:ascii="宋体" w:hAnsi="宋体" w:cs="宋体"/>
                <w:bCs/>
                <w:color w:val="auto"/>
                <w:sz w:val="24"/>
                <w:szCs w:val="24"/>
                <w:highlight w:val="none"/>
                <w:lang w:val="en-US" w:eastAsia="zh-CN"/>
              </w:rPr>
              <w:t>15</w:t>
            </w:r>
            <w:r>
              <w:rPr>
                <w:rFonts w:hint="eastAsia" w:ascii="宋体" w:hAnsi="宋体" w:eastAsia="宋体" w:cs="宋体"/>
                <w:bCs/>
                <w:color w:val="auto"/>
                <w:sz w:val="24"/>
                <w:szCs w:val="24"/>
                <w:highlight w:val="none"/>
                <w:lang w:val="en-US" w:eastAsia="zh-CN"/>
              </w:rPr>
              <w:t>分）</w:t>
            </w:r>
          </w:p>
          <w:p>
            <w:pPr>
              <w:spacing w:line="24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组织方案内容较完整，符合国家相关规范、规定要求，措施针对性较强、可操作性较强。        （</w:t>
            </w:r>
            <w:r>
              <w:rPr>
                <w:rFonts w:hint="eastAsia" w:ascii="宋体" w:hAnsi="宋体" w:cs="宋体"/>
                <w:bCs/>
                <w:color w:val="auto"/>
                <w:sz w:val="24"/>
                <w:szCs w:val="24"/>
                <w:highlight w:val="none"/>
                <w:lang w:val="en-US" w:eastAsia="zh-CN"/>
              </w:rPr>
              <w:t>16</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20</w:t>
            </w:r>
            <w:r>
              <w:rPr>
                <w:rFonts w:hint="eastAsia" w:ascii="宋体" w:hAnsi="宋体" w:eastAsia="宋体" w:cs="宋体"/>
                <w:bCs/>
                <w:color w:val="auto"/>
                <w:sz w:val="24"/>
                <w:szCs w:val="24"/>
                <w:highlight w:val="none"/>
                <w:lang w:val="en-US" w:eastAsia="zh-CN"/>
              </w:rPr>
              <w:t>分）</w:t>
            </w:r>
          </w:p>
          <w:p>
            <w:pPr>
              <w:spacing w:line="24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组织方案内容完整，符合国家相关规范、规定要求，措施针对性强、可操作性强。              （</w:t>
            </w:r>
            <w:r>
              <w:rPr>
                <w:rFonts w:hint="eastAsia" w:ascii="宋体" w:hAnsi="宋体" w:cs="宋体"/>
                <w:bCs/>
                <w:color w:val="auto"/>
                <w:sz w:val="24"/>
                <w:szCs w:val="24"/>
                <w:highlight w:val="none"/>
                <w:lang w:val="en-US" w:eastAsia="zh-CN"/>
              </w:rPr>
              <w:t>21</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30</w:t>
            </w:r>
            <w:r>
              <w:rPr>
                <w:rFonts w:hint="eastAsia" w:ascii="宋体" w:hAnsi="宋体" w:eastAsia="宋体" w:cs="宋体"/>
                <w:bCs/>
                <w:color w:val="auto"/>
                <w:sz w:val="24"/>
                <w:szCs w:val="24"/>
                <w:highlight w:val="none"/>
                <w:lang w:val="en-US" w:eastAsia="zh-CN"/>
              </w:rPr>
              <w:t>分）</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520"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5</w:t>
            </w:r>
          </w:p>
        </w:tc>
        <w:tc>
          <w:tcPr>
            <w:tcW w:w="1203"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服务和进度计划</w:t>
            </w:r>
          </w:p>
        </w:tc>
        <w:tc>
          <w:tcPr>
            <w:tcW w:w="6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服务和进度计划基本满足项目实施要求，控制措施不完善。                                  （1-5分）</w:t>
            </w:r>
          </w:p>
          <w:p>
            <w:pPr>
              <w:numPr>
                <w:ilvl w:val="0"/>
                <w:numId w:val="0"/>
              </w:numPr>
              <w:spacing w:line="24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服务和进度计划基本满足项目实施要求，有较为完善的控制措施。                            （6-10分）</w:t>
            </w:r>
          </w:p>
          <w:p>
            <w:pPr>
              <w:numPr>
                <w:ilvl w:val="0"/>
                <w:numId w:val="0"/>
              </w:numPr>
              <w:spacing w:line="24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服务和进度计划满足项目实施要求，有完善的控制措施，操作性强。                        （11-15分）</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520"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6</w:t>
            </w:r>
          </w:p>
        </w:tc>
        <w:tc>
          <w:tcPr>
            <w:tcW w:w="1203" w:type="dxa"/>
            <w:tcBorders>
              <w:left w:val="single" w:color="auto" w:sz="4" w:space="0"/>
              <w:right w:val="single" w:color="auto" w:sz="4" w:space="0"/>
            </w:tcBorders>
            <w:noWrap w:val="0"/>
            <w:vAlign w:val="center"/>
          </w:tcPr>
          <w:p>
            <w:pPr>
              <w:spacing w:line="360" w:lineRule="auto"/>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投标书完整性及招标文件响应程度</w:t>
            </w:r>
          </w:p>
        </w:tc>
        <w:tc>
          <w:tcPr>
            <w:tcW w:w="6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投标书完整及招标文件响应程度较好（8-10分）</w:t>
            </w:r>
          </w:p>
          <w:p>
            <w:pPr>
              <w:numPr>
                <w:ilvl w:val="0"/>
                <w:numId w:val="0"/>
              </w:numPr>
              <w:spacing w:line="24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投标书完整性良好及招标文件响应程度好（5-7分）</w:t>
            </w:r>
          </w:p>
          <w:p>
            <w:pPr>
              <w:numPr>
                <w:ilvl w:val="0"/>
                <w:numId w:val="0"/>
              </w:numPr>
              <w:spacing w:line="240" w:lineRule="auto"/>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投标书完整性及招标文件响应程度一般、较差（0-4分）</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7858" w:type="dxa"/>
            <w:gridSpan w:val="3"/>
            <w:tcBorders>
              <w:left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    计</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100</w:t>
            </w:r>
          </w:p>
        </w:tc>
      </w:tr>
    </w:tbl>
    <w:p>
      <w:pPr>
        <w:pStyle w:val="4"/>
        <w:rPr>
          <w:rFonts w:hint="eastAsia"/>
        </w:rPr>
      </w:pP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3.2报价评分（满分100分，权重0.</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3.2.1确定评标价（以总价为评标标准）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评标价为经调整后的比选申请人比选报价。</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（1）若因税金不一致，则在评标时修正到同一个标准。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（2）评标价仅作为评审时将各比选申请人比选报价调整到同一水平，以便进行比较，中选后合同价仍然为比选申请人比选报价。</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 报价得分</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比选申请人的最低评标价得分为100分。各比选申请人的评标价高于有效最低评标价，每高1%扣0.5分，扣完为止。计算分值时保留小数点后二位。</w:t>
      </w:r>
    </w:p>
    <w:p>
      <w:pPr>
        <w:spacing w:line="360" w:lineRule="auto"/>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报价得分＝100-[(评标价－有效最低评标价)/ 有效最低评标价×100]×0.5。</w:t>
      </w: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 xml:space="preserve">  综合评分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满分为100分，其中技术评分权重为0.</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0；报价权重为0.</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0。</w:t>
      </w: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比选单位综合得分=技术得分×0.</w:t>
      </w:r>
      <w:r>
        <w:rPr>
          <w:rFonts w:hint="eastAsia" w:ascii="宋体" w:hAnsi="宋体" w:cs="宋体"/>
          <w:b/>
          <w:bCs/>
          <w:color w:val="000000" w:themeColor="text1"/>
          <w:sz w:val="24"/>
          <w:highlight w:val="none"/>
          <w:lang w:val="en-US" w:eastAsia="zh-CN"/>
          <w14:textFill>
            <w14:solidFill>
              <w14:schemeClr w14:val="tx1"/>
            </w14:solidFill>
          </w14:textFill>
        </w:rPr>
        <w:t>4</w:t>
      </w:r>
      <w:r>
        <w:rPr>
          <w:rFonts w:hint="eastAsia" w:ascii="宋体" w:hAnsi="宋体" w:cs="宋体"/>
          <w:b/>
          <w:bCs/>
          <w:color w:val="000000" w:themeColor="text1"/>
          <w:sz w:val="24"/>
          <w:highlight w:val="none"/>
          <w14:textFill>
            <w14:solidFill>
              <w14:schemeClr w14:val="tx1"/>
            </w14:solidFill>
          </w14:textFill>
        </w:rPr>
        <w:t>+报价得分×0.</w:t>
      </w:r>
      <w:r>
        <w:rPr>
          <w:rFonts w:hint="eastAsia" w:ascii="宋体" w:hAnsi="宋体" w:cs="宋体"/>
          <w:b/>
          <w:bCs/>
          <w:color w:val="000000" w:themeColor="text1"/>
          <w:sz w:val="24"/>
          <w:highlight w:val="none"/>
          <w:lang w:val="en-US" w:eastAsia="zh-CN"/>
          <w14:textFill>
            <w14:solidFill>
              <w14:schemeClr w14:val="tx1"/>
            </w14:solidFill>
          </w14:textFill>
        </w:rPr>
        <w:t>6</w:t>
      </w:r>
      <w:r>
        <w:rPr>
          <w:rFonts w:hint="eastAsia" w:ascii="宋体" w:hAnsi="宋体" w:cs="宋体"/>
          <w:b/>
          <w:bCs/>
          <w:color w:val="000000" w:themeColor="text1"/>
          <w:sz w:val="24"/>
          <w:highlight w:val="none"/>
          <w14:textFill>
            <w14:solidFill>
              <w14:schemeClr w14:val="tx1"/>
            </w14:solidFill>
          </w14:textFill>
        </w:rPr>
        <w:t>。</w:t>
      </w: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 xml:space="preserve">  综合排序的原则</w:t>
      </w:r>
    </w:p>
    <w:p>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评审小组根据综合得分情况</w:t>
      </w:r>
      <w:r>
        <w:rPr>
          <w:rFonts w:hint="eastAsia" w:ascii="宋体" w:hAnsi="宋体" w:cs="宋体"/>
          <w:bCs/>
          <w:color w:val="000000" w:themeColor="text1"/>
          <w:sz w:val="24"/>
          <w:highlight w:val="none"/>
          <w14:textFill>
            <w14:solidFill>
              <w14:schemeClr w14:val="tx1"/>
            </w14:solidFill>
          </w14:textFill>
        </w:rPr>
        <w:t>按得分高低进行推荐排序</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并推荐得分前二名的为第一、第二候选人。比选人与其中一名签订合同。</w:t>
      </w:r>
    </w:p>
    <w:p>
      <w:pPr>
        <w:numPr>
          <w:ilvl w:val="0"/>
          <w:numId w:val="0"/>
        </w:numPr>
        <w:spacing w:line="360" w:lineRule="auto"/>
        <w:jc w:val="center"/>
        <w:rPr>
          <w:rFonts w:hint="eastAsia" w:ascii="宋体" w:hAnsi="宋体" w:cs="宋体"/>
          <w:b/>
          <w:bCs/>
          <w:color w:val="000000" w:themeColor="text1"/>
          <w:sz w:val="30"/>
          <w:szCs w:val="30"/>
          <w:highlight w:val="none"/>
          <w:lang w:val="en-US" w:eastAsia="zh-CN"/>
          <w14:textFill>
            <w14:solidFill>
              <w14:schemeClr w14:val="tx1"/>
            </w14:solidFill>
          </w14:textFill>
        </w:rPr>
      </w:pPr>
      <w:r>
        <w:rPr>
          <w:rFonts w:hint="eastAsia" w:ascii="宋体" w:hAnsi="宋体" w:cs="宋体"/>
          <w:b/>
          <w:bCs/>
          <w:color w:val="000000" w:themeColor="text1"/>
          <w:sz w:val="30"/>
          <w:szCs w:val="30"/>
          <w:highlight w:val="none"/>
          <w:lang w:val="en-US" w:eastAsia="zh-CN"/>
          <w14:textFill>
            <w14:solidFill>
              <w14:schemeClr w14:val="tx1"/>
            </w14:solidFill>
          </w14:textFill>
        </w:rPr>
        <w:t>第五章 技术部分</w:t>
      </w:r>
    </w:p>
    <w:p>
      <w:pPr>
        <w:spacing w:line="360" w:lineRule="auto"/>
        <w:ind w:firstLine="482" w:firstLineChars="200"/>
        <w:rPr>
          <w:rFonts w:hint="default" w:ascii="宋体" w:hAnsi="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详见技术规范书。</w:t>
      </w:r>
    </w:p>
    <w:p>
      <w:pPr>
        <w:numPr>
          <w:ilvl w:val="-1"/>
          <w:numId w:val="0"/>
        </w:numPr>
        <w:spacing w:line="360" w:lineRule="auto"/>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p>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right"/>
      <w:rPr>
        <w:rFonts w:hint="eastAsia" w:hAnsi="宋体" w:eastAsia="等线"/>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sz w:val="21"/>
      </w:rPr>
      <w:t>北京京能热电股份有限公司2－4炉燃烧器改造工程项目</w:t>
    </w:r>
    <w:r>
      <w:rPr>
        <w:rFonts w:hint="eastAsia"/>
        <w:sz w:val="21"/>
        <w:lang w:eastAsia="zh-CN"/>
      </w:rPr>
      <w:t>比选</w:t>
    </w:r>
    <w:r>
      <w:rPr>
        <w:rFonts w:hint="eastAsia"/>
        <w:sz w:val="21"/>
      </w:rPr>
      <w:t>文件</w:t>
    </w:r>
    <w:r>
      <w:rPr>
        <w:rFonts w:hint="eastAsia"/>
        <w:sz w:val="24"/>
      </w:rPr>
      <w:t xml:space="preserve">           第三卷技术部分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CA81E6"/>
    <w:multiLevelType w:val="multilevel"/>
    <w:tmpl w:val="36CA81E6"/>
    <w:lvl w:ilvl="0" w:tentative="0">
      <w:start w:val="1"/>
      <w:numFmt w:val="decimal"/>
      <w:suff w:val="nothing"/>
      <w:lvlText w:val="%1."/>
      <w:lvlJc w:val="left"/>
      <w:pPr>
        <w:tabs>
          <w:tab w:val="left" w:pos="0"/>
        </w:tabs>
        <w:ind w:left="432" w:hanging="432"/>
      </w:pPr>
      <w:rPr>
        <w:rFonts w:hint="default"/>
      </w:rPr>
    </w:lvl>
    <w:lvl w:ilvl="1" w:tentative="0">
      <w:start w:val="1"/>
      <w:numFmt w:val="decimal"/>
      <w:suff w:val="nothing"/>
      <w:lvlText w:val="%1.%2."/>
      <w:lvlJc w:val="left"/>
      <w:pPr>
        <w:tabs>
          <w:tab w:val="left" w:pos="0"/>
        </w:tabs>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OTExOTYyMGU5MGE5ODg0NzkxMmFiOWU1MzJlOWEifQ=="/>
  </w:docVars>
  <w:rsids>
    <w:rsidRoot w:val="001F2B0A"/>
    <w:rsid w:val="001F2B0A"/>
    <w:rsid w:val="003C0C0E"/>
    <w:rsid w:val="004637C6"/>
    <w:rsid w:val="00497E22"/>
    <w:rsid w:val="00566232"/>
    <w:rsid w:val="00AD61B3"/>
    <w:rsid w:val="00D72DC5"/>
    <w:rsid w:val="00FB477A"/>
    <w:rsid w:val="014B1EB7"/>
    <w:rsid w:val="01585814"/>
    <w:rsid w:val="015D7E49"/>
    <w:rsid w:val="01F06157"/>
    <w:rsid w:val="01FF1B6C"/>
    <w:rsid w:val="022A4BD8"/>
    <w:rsid w:val="02C90F9C"/>
    <w:rsid w:val="02D91D75"/>
    <w:rsid w:val="02EA3616"/>
    <w:rsid w:val="033F75C8"/>
    <w:rsid w:val="03B516E9"/>
    <w:rsid w:val="03F53949"/>
    <w:rsid w:val="041963BB"/>
    <w:rsid w:val="04635D80"/>
    <w:rsid w:val="04AB6121"/>
    <w:rsid w:val="04AB689E"/>
    <w:rsid w:val="0505449E"/>
    <w:rsid w:val="050B7141"/>
    <w:rsid w:val="06E415DA"/>
    <w:rsid w:val="07386071"/>
    <w:rsid w:val="0761059E"/>
    <w:rsid w:val="077A0069"/>
    <w:rsid w:val="077B0600"/>
    <w:rsid w:val="081D051E"/>
    <w:rsid w:val="083779B4"/>
    <w:rsid w:val="095F30A0"/>
    <w:rsid w:val="0A3A1D48"/>
    <w:rsid w:val="0ADE1C05"/>
    <w:rsid w:val="0B1B5DB7"/>
    <w:rsid w:val="0B4242FC"/>
    <w:rsid w:val="0BF35C26"/>
    <w:rsid w:val="0C246BA4"/>
    <w:rsid w:val="0C4546C7"/>
    <w:rsid w:val="0C552FCB"/>
    <w:rsid w:val="0C6F547D"/>
    <w:rsid w:val="0C953285"/>
    <w:rsid w:val="0CF47C3F"/>
    <w:rsid w:val="0D2D4871"/>
    <w:rsid w:val="0D8729DE"/>
    <w:rsid w:val="0DAB74B8"/>
    <w:rsid w:val="0DC15507"/>
    <w:rsid w:val="0F1A7AF2"/>
    <w:rsid w:val="0F380653"/>
    <w:rsid w:val="0F6C5013"/>
    <w:rsid w:val="109C14DF"/>
    <w:rsid w:val="10BE3DC9"/>
    <w:rsid w:val="116268AD"/>
    <w:rsid w:val="11CB1D14"/>
    <w:rsid w:val="120C234B"/>
    <w:rsid w:val="120E1C01"/>
    <w:rsid w:val="121635EA"/>
    <w:rsid w:val="12231A96"/>
    <w:rsid w:val="126A7388"/>
    <w:rsid w:val="12C16198"/>
    <w:rsid w:val="12CE23A9"/>
    <w:rsid w:val="130A0782"/>
    <w:rsid w:val="13170100"/>
    <w:rsid w:val="13C5156A"/>
    <w:rsid w:val="13E75572"/>
    <w:rsid w:val="14253035"/>
    <w:rsid w:val="142F2164"/>
    <w:rsid w:val="1467219E"/>
    <w:rsid w:val="14AF76CB"/>
    <w:rsid w:val="15BB33F7"/>
    <w:rsid w:val="15F35FAB"/>
    <w:rsid w:val="16553A51"/>
    <w:rsid w:val="16681976"/>
    <w:rsid w:val="16B2643E"/>
    <w:rsid w:val="16B80B59"/>
    <w:rsid w:val="16C94175"/>
    <w:rsid w:val="175D781D"/>
    <w:rsid w:val="180375AE"/>
    <w:rsid w:val="18870A0E"/>
    <w:rsid w:val="18B0174C"/>
    <w:rsid w:val="19137AFC"/>
    <w:rsid w:val="192B47CE"/>
    <w:rsid w:val="19570848"/>
    <w:rsid w:val="19BE081C"/>
    <w:rsid w:val="19C76B9B"/>
    <w:rsid w:val="1A561D65"/>
    <w:rsid w:val="1AC06D31"/>
    <w:rsid w:val="1AD725F9"/>
    <w:rsid w:val="1B5C49BB"/>
    <w:rsid w:val="1C0F2F48"/>
    <w:rsid w:val="1C72789B"/>
    <w:rsid w:val="1CC40A00"/>
    <w:rsid w:val="1D251111"/>
    <w:rsid w:val="1D83299A"/>
    <w:rsid w:val="1DA614B8"/>
    <w:rsid w:val="1E3F0843"/>
    <w:rsid w:val="1E44441B"/>
    <w:rsid w:val="1F724A69"/>
    <w:rsid w:val="1F7A5D97"/>
    <w:rsid w:val="203536E8"/>
    <w:rsid w:val="2088137E"/>
    <w:rsid w:val="20902DF0"/>
    <w:rsid w:val="20D6349C"/>
    <w:rsid w:val="20F0354E"/>
    <w:rsid w:val="212A5BF7"/>
    <w:rsid w:val="215154B4"/>
    <w:rsid w:val="21C76D7B"/>
    <w:rsid w:val="220D77DF"/>
    <w:rsid w:val="221E6FE9"/>
    <w:rsid w:val="22282915"/>
    <w:rsid w:val="229022CB"/>
    <w:rsid w:val="22D05E3C"/>
    <w:rsid w:val="238605F7"/>
    <w:rsid w:val="23B56D6C"/>
    <w:rsid w:val="23BA7E6F"/>
    <w:rsid w:val="242155A2"/>
    <w:rsid w:val="247E0A7C"/>
    <w:rsid w:val="24867F65"/>
    <w:rsid w:val="251875F3"/>
    <w:rsid w:val="2543664F"/>
    <w:rsid w:val="2553005E"/>
    <w:rsid w:val="25E71058"/>
    <w:rsid w:val="26423376"/>
    <w:rsid w:val="284C223F"/>
    <w:rsid w:val="288617B1"/>
    <w:rsid w:val="28927BAA"/>
    <w:rsid w:val="28A47815"/>
    <w:rsid w:val="29894653"/>
    <w:rsid w:val="2A027529"/>
    <w:rsid w:val="2A155E1E"/>
    <w:rsid w:val="2AE3617E"/>
    <w:rsid w:val="2B0D0850"/>
    <w:rsid w:val="2B716597"/>
    <w:rsid w:val="2B8562AF"/>
    <w:rsid w:val="2BF10728"/>
    <w:rsid w:val="2C8632D7"/>
    <w:rsid w:val="2CC342FD"/>
    <w:rsid w:val="2D2C4B5F"/>
    <w:rsid w:val="2D690265"/>
    <w:rsid w:val="2ECD2AA4"/>
    <w:rsid w:val="2EFC3072"/>
    <w:rsid w:val="2F0D6671"/>
    <w:rsid w:val="2F9B0424"/>
    <w:rsid w:val="30DE02F2"/>
    <w:rsid w:val="314D0E82"/>
    <w:rsid w:val="319566E7"/>
    <w:rsid w:val="32C77C56"/>
    <w:rsid w:val="33C17F75"/>
    <w:rsid w:val="341E7DDB"/>
    <w:rsid w:val="343F655E"/>
    <w:rsid w:val="34887DF7"/>
    <w:rsid w:val="353A6336"/>
    <w:rsid w:val="354253EA"/>
    <w:rsid w:val="35681B1F"/>
    <w:rsid w:val="35786811"/>
    <w:rsid w:val="36111E42"/>
    <w:rsid w:val="36432BB5"/>
    <w:rsid w:val="36CC48AD"/>
    <w:rsid w:val="373E3439"/>
    <w:rsid w:val="37C13DA0"/>
    <w:rsid w:val="38F235C6"/>
    <w:rsid w:val="39027F13"/>
    <w:rsid w:val="390C1966"/>
    <w:rsid w:val="39435DFC"/>
    <w:rsid w:val="399F3ADA"/>
    <w:rsid w:val="39FD20B6"/>
    <w:rsid w:val="3A23519F"/>
    <w:rsid w:val="3A3C318D"/>
    <w:rsid w:val="3A436EF3"/>
    <w:rsid w:val="3A545BA4"/>
    <w:rsid w:val="3AD96731"/>
    <w:rsid w:val="3B4F356C"/>
    <w:rsid w:val="3B983454"/>
    <w:rsid w:val="3BAF0A7B"/>
    <w:rsid w:val="3C3561CE"/>
    <w:rsid w:val="3D6F5C89"/>
    <w:rsid w:val="3E0B5F15"/>
    <w:rsid w:val="3E3651F2"/>
    <w:rsid w:val="3EB811B3"/>
    <w:rsid w:val="3EBF2718"/>
    <w:rsid w:val="3EC95F9F"/>
    <w:rsid w:val="3EFB134D"/>
    <w:rsid w:val="3F1F0CCB"/>
    <w:rsid w:val="3F344FBF"/>
    <w:rsid w:val="400E5068"/>
    <w:rsid w:val="40D46705"/>
    <w:rsid w:val="40EC4CC4"/>
    <w:rsid w:val="41172EE4"/>
    <w:rsid w:val="4219017E"/>
    <w:rsid w:val="4271604A"/>
    <w:rsid w:val="42D56E71"/>
    <w:rsid w:val="42FB3958"/>
    <w:rsid w:val="431945BC"/>
    <w:rsid w:val="431B6ADF"/>
    <w:rsid w:val="43543D49"/>
    <w:rsid w:val="4376335B"/>
    <w:rsid w:val="444728A5"/>
    <w:rsid w:val="448A687F"/>
    <w:rsid w:val="44BD7B66"/>
    <w:rsid w:val="44C862DD"/>
    <w:rsid w:val="451D0117"/>
    <w:rsid w:val="45BB4787"/>
    <w:rsid w:val="45F40E36"/>
    <w:rsid w:val="46651DA9"/>
    <w:rsid w:val="47197328"/>
    <w:rsid w:val="47504CD6"/>
    <w:rsid w:val="475C02CA"/>
    <w:rsid w:val="476A487A"/>
    <w:rsid w:val="47D0101C"/>
    <w:rsid w:val="48476601"/>
    <w:rsid w:val="485E4116"/>
    <w:rsid w:val="48686309"/>
    <w:rsid w:val="488B3C34"/>
    <w:rsid w:val="48AE5045"/>
    <w:rsid w:val="48E53BB1"/>
    <w:rsid w:val="49507E2D"/>
    <w:rsid w:val="49DC62C7"/>
    <w:rsid w:val="49E55E44"/>
    <w:rsid w:val="4A6F78BD"/>
    <w:rsid w:val="4BE34F89"/>
    <w:rsid w:val="4C067D9B"/>
    <w:rsid w:val="4C7260A7"/>
    <w:rsid w:val="4CC46C59"/>
    <w:rsid w:val="4D8E112D"/>
    <w:rsid w:val="4E0572B3"/>
    <w:rsid w:val="4E6303CE"/>
    <w:rsid w:val="4EB55783"/>
    <w:rsid w:val="4ECC6F0A"/>
    <w:rsid w:val="4F0F0EDE"/>
    <w:rsid w:val="4F0F537E"/>
    <w:rsid w:val="50D01E65"/>
    <w:rsid w:val="50E03FEB"/>
    <w:rsid w:val="516A6EFC"/>
    <w:rsid w:val="51C60175"/>
    <w:rsid w:val="529D0A4B"/>
    <w:rsid w:val="537A2831"/>
    <w:rsid w:val="5415574F"/>
    <w:rsid w:val="5421245A"/>
    <w:rsid w:val="544756BF"/>
    <w:rsid w:val="545676C7"/>
    <w:rsid w:val="550F0DC7"/>
    <w:rsid w:val="55734310"/>
    <w:rsid w:val="55C816BC"/>
    <w:rsid w:val="55FB64F0"/>
    <w:rsid w:val="565D24B7"/>
    <w:rsid w:val="568455BA"/>
    <w:rsid w:val="56D1092C"/>
    <w:rsid w:val="56F365F2"/>
    <w:rsid w:val="57633952"/>
    <w:rsid w:val="57DB0AC1"/>
    <w:rsid w:val="584B4EDB"/>
    <w:rsid w:val="5876106B"/>
    <w:rsid w:val="58CF584D"/>
    <w:rsid w:val="58F87C9B"/>
    <w:rsid w:val="590901C7"/>
    <w:rsid w:val="59224035"/>
    <w:rsid w:val="594A6722"/>
    <w:rsid w:val="599F7441"/>
    <w:rsid w:val="5A7D6262"/>
    <w:rsid w:val="5AD06F94"/>
    <w:rsid w:val="5AFE6139"/>
    <w:rsid w:val="5B092532"/>
    <w:rsid w:val="5B9709D6"/>
    <w:rsid w:val="5C1B1CCB"/>
    <w:rsid w:val="5C1B1DC2"/>
    <w:rsid w:val="5C2D4BA0"/>
    <w:rsid w:val="5D105E2E"/>
    <w:rsid w:val="5D2A4E02"/>
    <w:rsid w:val="5DB62526"/>
    <w:rsid w:val="5E377183"/>
    <w:rsid w:val="5E3D73F3"/>
    <w:rsid w:val="5EA02456"/>
    <w:rsid w:val="5FE75EF7"/>
    <w:rsid w:val="5FE944CE"/>
    <w:rsid w:val="60511079"/>
    <w:rsid w:val="607B055F"/>
    <w:rsid w:val="60C16A9C"/>
    <w:rsid w:val="61FA48B8"/>
    <w:rsid w:val="620B468C"/>
    <w:rsid w:val="627548C7"/>
    <w:rsid w:val="62B712F8"/>
    <w:rsid w:val="62D15553"/>
    <w:rsid w:val="63427B3A"/>
    <w:rsid w:val="635B2563"/>
    <w:rsid w:val="64015676"/>
    <w:rsid w:val="64316E7B"/>
    <w:rsid w:val="64667A16"/>
    <w:rsid w:val="648A157E"/>
    <w:rsid w:val="64931A11"/>
    <w:rsid w:val="64E73FFF"/>
    <w:rsid w:val="64F93037"/>
    <w:rsid w:val="658D1BE1"/>
    <w:rsid w:val="66F6657C"/>
    <w:rsid w:val="67084D16"/>
    <w:rsid w:val="6710392B"/>
    <w:rsid w:val="67502979"/>
    <w:rsid w:val="67FF38C9"/>
    <w:rsid w:val="681F299B"/>
    <w:rsid w:val="68A32539"/>
    <w:rsid w:val="68F32616"/>
    <w:rsid w:val="69591C34"/>
    <w:rsid w:val="69644B76"/>
    <w:rsid w:val="69860079"/>
    <w:rsid w:val="69DF37C5"/>
    <w:rsid w:val="69FD38F9"/>
    <w:rsid w:val="6A0B653E"/>
    <w:rsid w:val="6A252B92"/>
    <w:rsid w:val="6A804048"/>
    <w:rsid w:val="6AE67F53"/>
    <w:rsid w:val="6C154D81"/>
    <w:rsid w:val="6C6F10F7"/>
    <w:rsid w:val="6D7C78B7"/>
    <w:rsid w:val="6D7F36B1"/>
    <w:rsid w:val="6E6E5930"/>
    <w:rsid w:val="6EAC7ED8"/>
    <w:rsid w:val="6F40049E"/>
    <w:rsid w:val="6FA87362"/>
    <w:rsid w:val="6FE37D5D"/>
    <w:rsid w:val="6FE70627"/>
    <w:rsid w:val="70927102"/>
    <w:rsid w:val="70DD2FF7"/>
    <w:rsid w:val="70F95FBD"/>
    <w:rsid w:val="71121C24"/>
    <w:rsid w:val="71B92CFB"/>
    <w:rsid w:val="71DA05A0"/>
    <w:rsid w:val="725515F5"/>
    <w:rsid w:val="73926496"/>
    <w:rsid w:val="747A16BF"/>
    <w:rsid w:val="74F10FDA"/>
    <w:rsid w:val="74FD756C"/>
    <w:rsid w:val="7519039B"/>
    <w:rsid w:val="758E35BD"/>
    <w:rsid w:val="769A58E3"/>
    <w:rsid w:val="7795672F"/>
    <w:rsid w:val="77A33237"/>
    <w:rsid w:val="780E04D4"/>
    <w:rsid w:val="78304EDE"/>
    <w:rsid w:val="788318F6"/>
    <w:rsid w:val="78D323C4"/>
    <w:rsid w:val="78E71FCF"/>
    <w:rsid w:val="78FE5584"/>
    <w:rsid w:val="79914BA8"/>
    <w:rsid w:val="7A23637B"/>
    <w:rsid w:val="7A6164AB"/>
    <w:rsid w:val="7B391059"/>
    <w:rsid w:val="7B530539"/>
    <w:rsid w:val="7B574B36"/>
    <w:rsid w:val="7BA9375B"/>
    <w:rsid w:val="7BD948AD"/>
    <w:rsid w:val="7BEA3E4C"/>
    <w:rsid w:val="7C836F93"/>
    <w:rsid w:val="7CD93431"/>
    <w:rsid w:val="7D6C2781"/>
    <w:rsid w:val="7DDE038D"/>
    <w:rsid w:val="7DEA6F41"/>
    <w:rsid w:val="7E044AA8"/>
    <w:rsid w:val="7E0809CA"/>
    <w:rsid w:val="7F9D2EA8"/>
    <w:rsid w:val="7FA42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Calibri" w:hAnsi="Calibri" w:cs="宋体"/>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widowControl w:val="0"/>
      <w:numPr>
        <w:ilvl w:val="2"/>
        <w:numId w:val="1"/>
      </w:numPr>
      <w:tabs>
        <w:tab w:val="left" w:pos="680"/>
        <w:tab w:val="left" w:pos="907"/>
        <w:tab w:val="left" w:pos="1134"/>
        <w:tab w:val="left" w:pos="1361"/>
        <w:tab w:val="right" w:pos="6804"/>
        <w:tab w:val="left" w:pos="7088"/>
      </w:tabs>
      <w:adjustRightInd w:val="0"/>
      <w:spacing w:before="120" w:line="360" w:lineRule="atLeast"/>
      <w:ind w:left="720" w:hanging="720"/>
      <w:jc w:val="left"/>
      <w:textAlignment w:val="baseline"/>
      <w:outlineLvl w:val="2"/>
    </w:pPr>
    <w:rPr>
      <w:rFonts w:ascii="Arial" w:hAnsi="Arial" w:eastAsia="宋体" w:cs="Times New Roman"/>
      <w:b/>
      <w:kern w:val="0"/>
      <w:sz w:val="24"/>
      <w:szCs w:val="20"/>
      <w:lang w:val="en-US" w:eastAsia="zh-CN" w:bidi="ar-SA"/>
    </w:rPr>
  </w:style>
  <w:style w:type="paragraph" w:styleId="6">
    <w:name w:val="heading 4"/>
    <w:basedOn w:val="1"/>
    <w:next w:val="1"/>
    <w:qFormat/>
    <w:uiPriority w:val="0"/>
    <w:pPr>
      <w:snapToGrid w:val="0"/>
      <w:spacing w:line="440" w:lineRule="atLeast"/>
      <w:outlineLvl w:val="3"/>
    </w:pPr>
    <w:rPr>
      <w:bCs/>
      <w:kern w:val="0"/>
      <w:sz w:val="24"/>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Cs w:val="21"/>
    </w:rPr>
  </w:style>
  <w:style w:type="paragraph" w:styleId="7">
    <w:name w:val="toc 7"/>
    <w:basedOn w:val="1"/>
    <w:next w:val="1"/>
    <w:qFormat/>
    <w:uiPriority w:val="39"/>
    <w:pPr>
      <w:ind w:left="1260"/>
      <w:jc w:val="left"/>
    </w:pPr>
    <w:rPr>
      <w:sz w:val="18"/>
      <w:szCs w:val="18"/>
    </w:rPr>
  </w:style>
  <w:style w:type="paragraph" w:styleId="8">
    <w:name w:val="Normal Indent"/>
    <w:basedOn w:val="1"/>
    <w:qFormat/>
    <w:uiPriority w:val="0"/>
    <w:pPr>
      <w:spacing w:line="360" w:lineRule="auto"/>
      <w:ind w:firstLine="420"/>
    </w:pPr>
    <w:rPr>
      <w:rFonts w:ascii="宋体"/>
      <w:sz w:val="24"/>
      <w:szCs w:val="20"/>
    </w:rPr>
  </w:style>
  <w:style w:type="paragraph" w:styleId="9">
    <w:name w:val="annotation text"/>
    <w:basedOn w:val="1"/>
    <w:semiHidden/>
    <w:qFormat/>
    <w:uiPriority w:val="0"/>
    <w:pPr>
      <w:spacing w:line="360" w:lineRule="auto"/>
      <w:ind w:left="851"/>
      <w:jc w:val="left"/>
    </w:pPr>
    <w:rPr>
      <w:sz w:val="24"/>
      <w:szCs w:val="20"/>
    </w:rPr>
  </w:style>
  <w:style w:type="paragraph" w:styleId="10">
    <w:name w:val="Body Text Indent"/>
    <w:basedOn w:val="1"/>
    <w:qFormat/>
    <w:uiPriority w:val="0"/>
    <w:pPr>
      <w:adjustRightInd w:val="0"/>
      <w:spacing w:before="240" w:beforeLines="0" w:beforeAutospacing="0" w:line="360" w:lineRule="auto"/>
      <w:ind w:firstLine="578"/>
      <w:textAlignment w:val="baseline"/>
    </w:pPr>
    <w:rPr>
      <w:rFonts w:hAnsi="Century Gothic"/>
    </w:rPr>
  </w:style>
  <w:style w:type="paragraph" w:styleId="11">
    <w:name w:val="Block Text"/>
    <w:basedOn w:val="1"/>
    <w:qFormat/>
    <w:uiPriority w:val="0"/>
    <w:pPr>
      <w:spacing w:before="120" w:after="120" w:line="360" w:lineRule="auto"/>
      <w:ind w:left="630" w:right="202"/>
    </w:pPr>
    <w:rPr>
      <w:rFonts w:ascii="宋体"/>
      <w:sz w:val="24"/>
      <w:szCs w:val="20"/>
    </w:rPr>
  </w:style>
  <w:style w:type="paragraph" w:styleId="12">
    <w:name w:val="Plain Text"/>
    <w:basedOn w:val="1"/>
    <w:qFormat/>
    <w:uiPriority w:val="0"/>
    <w:rPr>
      <w:rFonts w:ascii="Courier New" w:hAnsi="Courier New"/>
      <w:szCs w:val="20"/>
    </w:rPr>
  </w:style>
  <w:style w:type="paragraph" w:styleId="13">
    <w:name w:val="Date"/>
    <w:basedOn w:val="1"/>
    <w:next w:val="1"/>
    <w:qFormat/>
    <w:uiPriority w:val="0"/>
    <w:pPr>
      <w:ind w:left="100" w:leftChars="2500"/>
    </w:p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b/>
      <w:caps/>
      <w:sz w:val="20"/>
      <w:szCs w:val="20"/>
    </w:rPr>
  </w:style>
  <w:style w:type="paragraph" w:styleId="17">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2"/>
    <w:next w:val="20"/>
    <w:qFormat/>
    <w:uiPriority w:val="99"/>
    <w:pPr>
      <w:ind w:firstLine="420" w:firstLineChars="100"/>
    </w:pPr>
    <w:rPr>
      <w:rFonts w:ascii="Times New Roman" w:hAnsi="Times New Roman" w:cs="Times New Roman"/>
      <w:szCs w:val="20"/>
    </w:rPr>
  </w:style>
  <w:style w:type="paragraph" w:customStyle="1" w:styleId="20">
    <w:name w:val="段落正文"/>
    <w:basedOn w:val="1"/>
    <w:qFormat/>
    <w:uiPriority w:val="0"/>
    <w:pPr>
      <w:spacing w:line="360" w:lineRule="auto"/>
      <w:ind w:firstLine="480" w:firstLineChars="200"/>
    </w:pPr>
    <w:rPr>
      <w:rFonts w:ascii="微软雅黑" w:hAnsi="微软雅黑"/>
      <w:kern w:val="0"/>
      <w:sz w:val="24"/>
      <w:szCs w:val="20"/>
    </w:rPr>
  </w:style>
  <w:style w:type="paragraph" w:styleId="21">
    <w:name w:val="Body Text First Indent 2"/>
    <w:basedOn w:val="10"/>
    <w:next w:val="7"/>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paragraph" w:customStyle="1" w:styleId="26">
    <w:name w:val="_Style 3"/>
    <w:basedOn w:val="1"/>
    <w:next w:val="1"/>
    <w:qFormat/>
    <w:uiPriority w:val="99"/>
    <w:pPr>
      <w:spacing w:line="360" w:lineRule="auto"/>
      <w:ind w:firstLine="420" w:firstLineChars="200"/>
    </w:pPr>
    <w:rPr>
      <w:sz w:val="24"/>
      <w:szCs w:val="24"/>
    </w:rPr>
  </w:style>
  <w:style w:type="paragraph" w:customStyle="1" w:styleId="27">
    <w:name w:val="样式2"/>
    <w:basedOn w:val="1"/>
    <w:qFormat/>
    <w:uiPriority w:val="0"/>
    <w:pPr>
      <w:adjustRightInd w:val="0"/>
      <w:spacing w:line="410" w:lineRule="atLeast"/>
      <w:jc w:val="left"/>
    </w:pPr>
    <w:rPr>
      <w:kern w:val="0"/>
      <w:sz w:val="24"/>
      <w:szCs w:val="20"/>
    </w:rPr>
  </w:style>
  <w:style w:type="paragraph" w:customStyle="1" w:styleId="28">
    <w:name w:val="样式1"/>
    <w:basedOn w:val="1"/>
    <w:qFormat/>
    <w:uiPriority w:val="0"/>
    <w:pPr>
      <w:adjustRightInd w:val="0"/>
      <w:spacing w:line="420" w:lineRule="auto"/>
      <w:jc w:val="center"/>
    </w:pPr>
    <w:rPr>
      <w:rFonts w:ascii="宋体"/>
      <w:kern w:val="0"/>
      <w:sz w:val="24"/>
      <w:szCs w:val="20"/>
    </w:rPr>
  </w:style>
  <w:style w:type="paragraph" w:customStyle="1" w:styleId="29">
    <w:name w:val="正文2"/>
    <w:basedOn w:val="1"/>
    <w:next w:val="1"/>
    <w:qFormat/>
    <w:uiPriority w:val="0"/>
  </w:style>
  <w:style w:type="paragraph" w:customStyle="1" w:styleId="30">
    <w:name w:val="Plain Text"/>
    <w:qFormat/>
    <w:uiPriority w:val="0"/>
    <w:pPr>
      <w:widowControl w:val="0"/>
      <w:jc w:val="both"/>
    </w:pPr>
    <w:rPr>
      <w:rFonts w:ascii="宋体" w:hAnsi="Courier New" w:eastAsia="宋体" w:cs="Times New Roman"/>
      <w:kern w:val="2"/>
      <w:sz w:val="21"/>
      <w:lang w:val="en-US" w:eastAsia="zh-CN" w:bidi="ar-SA"/>
    </w:rPr>
  </w:style>
  <w:style w:type="paragraph" w:customStyle="1" w:styleId="31">
    <w:name w:val="正文+缩进2字符"/>
    <w:basedOn w:val="1"/>
    <w:qFormat/>
    <w:uiPriority w:val="0"/>
    <w:pPr>
      <w:spacing w:line="360" w:lineRule="auto"/>
      <w:ind w:firstLine="200" w:firstLineChars="200"/>
    </w:pPr>
    <w:rPr>
      <w:kern w:val="0"/>
      <w:sz w:val="28"/>
    </w:rPr>
  </w:style>
  <w:style w:type="paragraph" w:customStyle="1" w:styleId="32">
    <w:name w:val="表内左两列正文"/>
    <w:basedOn w:val="33"/>
    <w:qFormat/>
    <w:uiPriority w:val="0"/>
    <w:pPr>
      <w:spacing w:line="320" w:lineRule="exact"/>
      <w:jc w:val="center"/>
    </w:pPr>
    <w:rPr>
      <w:w w:val="99"/>
    </w:rPr>
  </w:style>
  <w:style w:type="paragraph" w:customStyle="1" w:styleId="33">
    <w:name w:val="表内正文"/>
    <w:basedOn w:val="1"/>
    <w:qFormat/>
    <w:uiPriority w:val="0"/>
    <w:pPr>
      <w:widowControl/>
      <w:spacing w:line="320" w:lineRule="atLeast"/>
      <w:jc w:val="left"/>
    </w:pPr>
    <w:rPr>
      <w:rFonts w:ascii="宋体" w:hAnsi="宋体" w:eastAsia="宋体" w:cs="Times New Roman"/>
      <w:spacing w:val="2"/>
      <w:kern w:val="0"/>
      <w:szCs w:val="21"/>
      <w:lang w:eastAsia="en-US" w:bidi="en-US"/>
    </w:rPr>
  </w:style>
  <w:style w:type="paragraph" w:customStyle="1" w:styleId="34">
    <w:name w:val="Normal_0"/>
    <w:qFormat/>
    <w:uiPriority w:val="1"/>
    <w:rPr>
      <w:rFonts w:ascii="Arial" w:hAnsi="Arial" w:eastAsia="微软雅黑" w:cs="Times New Roman"/>
      <w:kern w:val="0"/>
      <w:sz w:val="20"/>
      <w:szCs w:val="20"/>
      <w:lang w:val="en-US" w:eastAsia="en-US" w:bidi="ar-SA"/>
    </w:rPr>
  </w:style>
  <w:style w:type="table" w:customStyle="1" w:styleId="35">
    <w:name w:val="Table Normal"/>
    <w:semiHidden/>
    <w:unhideWhenUsed/>
    <w:qFormat/>
    <w:uiPriority w:val="2"/>
    <w:tblPr>
      <w:tblCellMar>
        <w:top w:w="0" w:type="dxa"/>
        <w:left w:w="0" w:type="dxa"/>
        <w:bottom w:w="0" w:type="dxa"/>
        <w:right w:w="0" w:type="dxa"/>
      </w:tblCellMar>
    </w:tblPr>
  </w:style>
  <w:style w:type="paragraph" w:customStyle="1" w:styleId="36">
    <w:name w:val="p0"/>
    <w:basedOn w:val="1"/>
    <w:qFormat/>
    <w:uiPriority w:val="0"/>
    <w:pPr>
      <w:widowControl/>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3721</Words>
  <Characters>4010</Characters>
  <Lines>14</Lines>
  <Paragraphs>13</Paragraphs>
  <TotalTime>2</TotalTime>
  <ScaleCrop>false</ScaleCrop>
  <LinksUpToDate>false</LinksUpToDate>
  <CharactersWithSpaces>4828</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2022-03-08T15:11:00Z</dcterms:created>
  <dc:creator>Administrator</dc:creator>
  <cp:lastModifiedBy>彭宏</cp:lastModifiedBy>
  <dcterms:modified xsi:type="dcterms:W3CDTF">2024-10-10T03:38:39Z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B4BAAD482530489288B9A325EBC8278C</vt:lpwstr>
  </property>
</Properties>
</file>